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line="288" w:lineRule="auto"/>
      </w:pPr>
      <w:r>
        <w:rPr>
          <w:rFonts w:ascii="Calibri" w:cs="Calibri" w:eastAsia="Calibri" w:hAnsi="Calibri"/>
          <w:b/>
          <w:bCs/>
          <w:i w:val="false"/>
          <w:iCs w:val="false"/>
          <w:strike w:val="false"/>
          <w:color w:val="0F1B2D"/>
          <w:sz w:val="56"/>
          <w:szCs w:val="56"/>
        </w:rPr>
        <w:t xml:space="preserve">Unified DORA–ENISA Master Playbook Portfolio</w:t>
      </w:r>
    </w:p>
    <w:p>
      <w:pPr>
        <w:spacing w:after="480" w:before="60" w:line="360" w:lineRule="auto"/>
      </w:pPr>
      <w:r>
        <w:rPr>
          <w:rFonts w:ascii="Calibri" w:cs="Calibri" w:eastAsia="Calibri" w:hAnsi="Calibri"/>
          <w:b w:val="false"/>
          <w:bCs w:val="false"/>
          <w:i w:val="false"/>
          <w:iCs w:val="false"/>
          <w:strike w:val="false"/>
          <w:color w:val="1A2A44"/>
          <w:sz w:val="32"/>
          <w:szCs w:val="32"/>
        </w:rPr>
        <w:t xml:space="preserve">Operational Resilience Architecture for EU Critical-Sector Cybersecurity</w:t>
      </w:r>
    </w:p>
    <w:p>
      <w:pPr>
        <w:spacing w:after="6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333333"/>
          <w:sz w:val="22"/>
          <w:szCs w:val="22"/>
        </w:rPr>
        <w:t xml:space="preserve"> Ssambra  |  Identity Auditor &amp; Threat Sentinel</w:t>
      </w:r>
    </w:p>
    <w:p>
      <w:pPr>
        <w:spacing w:after="60" w:before="60" w:line="360" w:lineRule="auto"/>
      </w:pPr>
      <w:r>
        <w:rPr>
          <w:rFonts w:ascii="Calibri" w:cs="Calibri" w:eastAsia="Calibri" w:hAnsi="Calibri"/>
          <w:b/>
          <w:bCs/>
          <w:i w:val="false"/>
          <w:iCs w:val="false"/>
          <w:strike w:val="false"/>
          <w:color w:val="000000"/>
          <w:sz w:val="22"/>
          <w:szCs w:val="22"/>
        </w:rPr>
        <w:t xml:space="preserve">Role:</w:t>
      </w:r>
      <w:r>
        <w:rPr>
          <w:rFonts w:ascii="Calibri" w:cs="Calibri" w:eastAsia="Calibri" w:hAnsi="Calibri"/>
          <w:b w:val="false"/>
          <w:bCs w:val="false"/>
          <w:i w:val="false"/>
          <w:iCs w:val="false"/>
          <w:strike w:val="false"/>
          <w:color w:val="333333"/>
          <w:sz w:val="22"/>
          <w:szCs w:val="22"/>
        </w:rPr>
        <w:t xml:space="preserve"> Resilience Architect</w:t>
      </w:r>
    </w:p>
    <w:p>
      <w:pPr>
        <w:spacing w:after="60" w:before="60" w:line="360" w:lineRule="auto"/>
      </w:pPr>
      <w:r>
        <w:rPr>
          <w:rFonts w:ascii="Calibri" w:cs="Calibri" w:eastAsia="Calibri" w:hAnsi="Calibri"/>
          <w:b/>
          <w:bCs/>
          <w:i w:val="false"/>
          <w:iCs w:val="false"/>
          <w:strike w:val="false"/>
          <w:color w:val="000000"/>
          <w:sz w:val="22"/>
          <w:szCs w:val="22"/>
        </w:rPr>
        <w:t xml:space="preserve">Location:</w:t>
      </w:r>
      <w:r>
        <w:rPr>
          <w:rFonts w:ascii="Calibri" w:cs="Calibri" w:eastAsia="Calibri" w:hAnsi="Calibri"/>
          <w:b w:val="false"/>
          <w:bCs w:val="false"/>
          <w:i w:val="false"/>
          <w:iCs w:val="false"/>
          <w:strike w:val="false"/>
          <w:color w:val="333333"/>
          <w:sz w:val="22"/>
          <w:szCs w:val="22"/>
        </w:rPr>
        <w:t xml:space="preserve"> Kitimat, BC, Canada  |  Remote-First Operations</w:t>
      </w:r>
    </w:p>
    <w:p>
      <w:pPr>
        <w:spacing w:after="6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333333"/>
          <w:sz w:val="22"/>
          <w:szCs w:val="22"/>
        </w:rPr>
        <w:t xml:space="preserve"> April 2026</w:t>
      </w:r>
    </w:p>
    <w:p>
      <w:pPr>
        <w:spacing w:after="60" w:before="6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333333"/>
          <w:sz w:val="22"/>
          <w:szCs w:val="22"/>
        </w:rPr>
        <w:t xml:space="preserve"> Portfolio Document — Simulated Case Studies</w:t>
      </w:r>
    </w:p>
    <w:p>
      <w:pPr>
        <w:spacing w:after="2400" w:before="480" w:line="360" w:lineRule="auto"/>
      </w:pPr>
      <w:r>
        <w:rPr>
          <w:rFonts w:ascii="Calibri" w:cs="Calibri" w:eastAsia="Calibri" w:hAnsi="Calibri"/>
          <w:b w:val="false"/>
          <w:bCs w:val="false"/>
          <w:i/>
          <w:iCs/>
          <w:strike w:val="false"/>
          <w:color w:val="555555"/>
          <w:sz w:val="20"/>
          <w:szCs w:val="20"/>
        </w:rPr>
        <w:t xml:space="preserve">"Designing, Testing, and Auditing Digital Operational Resilience Across Regulated Financial and Critical Infrastructure Sectors"</w:t>
      </w:r>
    </w:p>
    <w:p>
      <w:pPr>
        <w:pBdr>
          <w:bottom w:val="single" w:color="0F1B2D" w:sz="6"/>
        </w:pBdr>
        <w:spacing w:after="240" w:before="24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European Union's digital operational resilience landscape has entered a decisive era. With </w:t>
      </w:r>
      <w:r>
        <w:rPr>
          <w:rFonts w:ascii="Calibri" w:cs="Calibri" w:eastAsia="Calibri" w:hAnsi="Calibri"/>
          <w:b/>
          <w:bCs/>
          <w:i w:val="false"/>
          <w:iCs w:val="false"/>
          <w:strike w:val="false"/>
          <w:color w:val="000000"/>
          <w:sz w:val="22"/>
          <w:szCs w:val="22"/>
        </w:rPr>
        <w:t xml:space="preserve">Regulation (EU) 2022/2554</w:t>
      </w:r>
      <w:r>
        <w:rPr>
          <w:rFonts w:ascii="Calibri" w:cs="Calibri" w:eastAsia="Calibri" w:hAnsi="Calibri"/>
          <w:b w:val="false"/>
          <w:bCs w:val="false"/>
          <w:i w:val="false"/>
          <w:iCs w:val="false"/>
          <w:strike w:val="false"/>
          <w:color w:val="000000"/>
          <w:sz w:val="22"/>
          <w:szCs w:val="22"/>
        </w:rPr>
        <w:t xml:space="preserve"> — the </w:t>
      </w:r>
      <w:r>
        <w:rPr>
          <w:rFonts w:ascii="Calibri" w:cs="Calibri" w:eastAsia="Calibri" w:hAnsi="Calibri"/>
          <w:b/>
          <w:bCs/>
          <w:i w:val="false"/>
          <w:iCs w:val="false"/>
          <w:strike w:val="false"/>
          <w:color w:val="000000"/>
          <w:sz w:val="22"/>
          <w:szCs w:val="22"/>
        </w:rPr>
        <w:t xml:space="preserve">Digital Operational Resilience Act (DORA)</w:t>
      </w:r>
      <w:r>
        <w:rPr>
          <w:rFonts w:ascii="Calibri" w:cs="Calibri" w:eastAsia="Calibri" w:hAnsi="Calibri"/>
          <w:b w:val="false"/>
          <w:bCs w:val="false"/>
          <w:i w:val="false"/>
          <w:iCs w:val="false"/>
          <w:strike w:val="false"/>
          <w:color w:val="000000"/>
          <w:sz w:val="22"/>
          <w:szCs w:val="22"/>
        </w:rPr>
        <w:t xml:space="preserve"> — fully effective since 17 January 2025, and the </w:t>
      </w:r>
      <w:r>
        <w:rPr>
          <w:rFonts w:ascii="Calibri" w:cs="Calibri" w:eastAsia="Calibri" w:hAnsi="Calibri"/>
          <w:b/>
          <w:bCs/>
          <w:i w:val="false"/>
          <w:iCs w:val="false"/>
          <w:strike w:val="false"/>
          <w:color w:val="000000"/>
          <w:sz w:val="22"/>
          <w:szCs w:val="22"/>
        </w:rPr>
        <w:t xml:space="preserve">NIS2 Directive (Directive (EU) 2022/2555)</w:t>
      </w:r>
      <w:r>
        <w:rPr>
          <w:rFonts w:ascii="Calibri" w:cs="Calibri" w:eastAsia="Calibri" w:hAnsi="Calibri"/>
          <w:b w:val="false"/>
          <w:bCs w:val="false"/>
          <w:i w:val="false"/>
          <w:iCs w:val="false"/>
          <w:strike w:val="false"/>
          <w:color w:val="000000"/>
          <w:sz w:val="22"/>
          <w:szCs w:val="22"/>
        </w:rPr>
        <w:t xml:space="preserve"> requiring Member State transposition, financial entities and critical infrastructure operators face an unprecedented mandate: build, test, prove, and continuously improve their ability to withstand, respond to, and recover from ICT-related disruptions.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portfolio presents the work of </w:t>
      </w:r>
      <w:r>
        <w:rPr>
          <w:rFonts w:ascii="Calibri" w:cs="Calibri" w:eastAsia="Calibri" w:hAnsi="Calibri"/>
          <w:b/>
          <w:bCs/>
          <w:i w:val="false"/>
          <w:iCs w:val="false"/>
          <w:strike w:val="false"/>
          <w:color w:val="000000"/>
          <w:sz w:val="22"/>
          <w:szCs w:val="22"/>
        </w:rPr>
        <w:t xml:space="preserve">Ssambra</w:t>
      </w:r>
      <w:r>
        <w:rPr>
          <w:rFonts w:ascii="Calibri" w:cs="Calibri" w:eastAsia="Calibri" w:hAnsi="Calibri"/>
          <w:b w:val="false"/>
          <w:bCs w:val="false"/>
          <w:i w:val="false"/>
          <w:iCs w:val="false"/>
          <w:strike w:val="false"/>
          <w:color w:val="000000"/>
          <w:sz w:val="22"/>
          <w:szCs w:val="22"/>
        </w:rPr>
        <w:t xml:space="preserve">, a Resilience Architect operating as </w:t>
      </w:r>
      <w:r>
        <w:rPr>
          <w:rFonts w:ascii="Calibri" w:cs="Calibri" w:eastAsia="Calibri" w:hAnsi="Calibri"/>
          <w:b/>
          <w:bCs/>
          <w:i w:val="false"/>
          <w:iCs w:val="false"/>
          <w:strike w:val="false"/>
          <w:color w:val="000000"/>
          <w:sz w:val="22"/>
          <w:szCs w:val="22"/>
        </w:rPr>
        <w:t xml:space="preserve">Identity Auditor &amp; Threat Sentinel</w:t>
      </w:r>
      <w:r>
        <w:rPr>
          <w:rFonts w:ascii="Calibri" w:cs="Calibri" w:eastAsia="Calibri" w:hAnsi="Calibri"/>
          <w:b w:val="false"/>
          <w:bCs w:val="false"/>
          <w:i w:val="false"/>
          <w:iCs w:val="false"/>
          <w:strike w:val="false"/>
          <w:color w:val="000000"/>
          <w:sz w:val="22"/>
          <w:szCs w:val="22"/>
        </w:rPr>
        <w:t xml:space="preserve"> from Kitimat, BC, Canada under a remote-first operational model. It demonstrates end-to-end capability across the full spectrum of digital operational resilience — from regulatory compliance architecture to hands-on chaos engineering, from threat-informed risk assessment to automated recovery orchestration.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portfolio is organized into </w:t>
      </w:r>
      <w:r>
        <w:rPr>
          <w:rFonts w:ascii="Calibri" w:cs="Calibri" w:eastAsia="Calibri" w:hAnsi="Calibri"/>
          <w:b/>
          <w:bCs/>
          <w:i w:val="false"/>
          <w:iCs w:val="false"/>
          <w:strike w:val="false"/>
          <w:color w:val="000000"/>
          <w:sz w:val="22"/>
          <w:szCs w:val="22"/>
        </w:rPr>
        <w:t xml:space="preserve">four Master Playbooks</w:t>
      </w:r>
      <w:r>
        <w:rPr>
          <w:rFonts w:ascii="Calibri" w:cs="Calibri" w:eastAsia="Calibri" w:hAnsi="Calibri"/>
          <w:b w:val="false"/>
          <w:bCs w:val="false"/>
          <w:i w:val="false"/>
          <w:iCs w:val="false"/>
          <w:strike w:val="false"/>
          <w:color w:val="000000"/>
          <w:sz w:val="22"/>
          <w:szCs w:val="22"/>
        </w:rPr>
        <w:t xml:space="preserve">, each addressing a critical domain of the resilience lifecycle: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DORA Article 28 — ICT Third-Party Risk Audit Protocol:</w:t>
      </w:r>
      <w:r>
        <w:rPr>
          <w:rFonts w:ascii="Calibri" w:cs="Calibri" w:eastAsia="Calibri" w:hAnsi="Calibri"/>
          <w:b w:val="false"/>
          <w:bCs w:val="false"/>
          <w:i w:val="false"/>
          <w:iCs w:val="false"/>
          <w:strike w:val="false"/>
          <w:color w:val="000000"/>
          <w:sz w:val="22"/>
          <w:szCs w:val="22"/>
        </w:rPr>
        <w:t xml:space="preserve"> Governance frameworks, vendor risk assessment, concentration risk analysis, and structured audit protocols for managing ICT third-party dependencies in compliance with DORA's outsourcing requirements.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ENISA Risk Assessment &amp; NIS2 Compliance Framework:</w:t>
      </w:r>
      <w:r>
        <w:rPr>
          <w:rFonts w:ascii="Calibri" w:cs="Calibri" w:eastAsia="Calibri" w:hAnsi="Calibri"/>
          <w:b w:val="false"/>
          <w:bCs w:val="false"/>
          <w:i w:val="false"/>
          <w:iCs w:val="false"/>
          <w:strike w:val="false"/>
          <w:color w:val="000000"/>
          <w:sz w:val="22"/>
          <w:szCs w:val="22"/>
        </w:rPr>
        <w:t xml:space="preserve"> Threat landscape analysis, risk registers, and policy frameworks aligned to ENISA's 13-domain cybersecurity methodology and the NIS2 Implementing Regulation (EU) 2024/2690.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Chaos Engineering &amp; Digital Operational Resilience Testing:</w:t>
      </w:r>
      <w:r>
        <w:rPr>
          <w:rFonts w:ascii="Calibri" w:cs="Calibri" w:eastAsia="Calibri" w:hAnsi="Calibri"/>
          <w:b w:val="false"/>
          <w:bCs w:val="false"/>
          <w:i w:val="false"/>
          <w:iCs w:val="false"/>
          <w:strike w:val="false"/>
          <w:color w:val="000000"/>
          <w:sz w:val="22"/>
          <w:szCs w:val="22"/>
        </w:rPr>
        <w:t xml:space="preserve"> Test catalogs, execution logs, and automated recovery validation aligned to DORA Chapter IV (Articles 24–27), including threat-led penetration testing principles.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Remote-First Business Continuity &amp; Automated Recovery Architecture:</w:t>
      </w:r>
      <w:r>
        <w:rPr>
          <w:rFonts w:ascii="Calibri" w:cs="Calibri" w:eastAsia="Calibri" w:hAnsi="Calibri"/>
          <w:b w:val="false"/>
          <w:bCs w:val="false"/>
          <w:i w:val="false"/>
          <w:iCs w:val="false"/>
          <w:strike w:val="false"/>
          <w:color w:val="000000"/>
          <w:sz w:val="22"/>
          <w:szCs w:val="22"/>
        </w:rPr>
        <w:t xml:space="preserve"> Business impact analysis, tiered BCP architecture, automated recovery playbooks, and annual testing schedules designed for distributed, cloud-native operations.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Complementing these playbooks are a </w:t>
      </w:r>
      <w:r>
        <w:rPr>
          <w:rFonts w:ascii="Calibri" w:cs="Calibri" w:eastAsia="Calibri" w:hAnsi="Calibri"/>
          <w:b/>
          <w:bCs/>
          <w:i w:val="false"/>
          <w:iCs w:val="false"/>
          <w:strike w:val="false"/>
          <w:color w:val="000000"/>
          <w:sz w:val="22"/>
          <w:szCs w:val="22"/>
        </w:rPr>
        <w:t xml:space="preserve">KPI Dashboard</w:t>
      </w:r>
      <w:r>
        <w:rPr>
          <w:rFonts w:ascii="Calibri" w:cs="Calibri" w:eastAsia="Calibri" w:hAnsi="Calibri"/>
          <w:b w:val="false"/>
          <w:bCs w:val="false"/>
          <w:i w:val="false"/>
          <w:iCs w:val="false"/>
          <w:strike w:val="false"/>
          <w:color w:val="000000"/>
          <w:sz w:val="22"/>
          <w:szCs w:val="22"/>
        </w:rPr>
        <w:t xml:space="preserve"> with 20 operational metrics, a </w:t>
      </w:r>
      <w:r>
        <w:rPr>
          <w:rFonts w:ascii="Calibri" w:cs="Calibri" w:eastAsia="Calibri" w:hAnsi="Calibri"/>
          <w:b/>
          <w:bCs/>
          <w:i w:val="false"/>
          <w:iCs w:val="false"/>
          <w:strike w:val="false"/>
          <w:color w:val="000000"/>
          <w:sz w:val="22"/>
          <w:szCs w:val="22"/>
        </w:rPr>
        <w:t xml:space="preserve">Master Audit Trail</w:t>
      </w:r>
      <w:r>
        <w:rPr>
          <w:rFonts w:ascii="Calibri" w:cs="Calibri" w:eastAsia="Calibri" w:hAnsi="Calibri"/>
          <w:b w:val="false"/>
          <w:bCs w:val="false"/>
          <w:i w:val="false"/>
          <w:iCs w:val="false"/>
          <w:strike w:val="false"/>
          <w:color w:val="000000"/>
          <w:sz w:val="22"/>
          <w:szCs w:val="22"/>
        </w:rPr>
        <w:t xml:space="preserve"> spanning all four domains, and a </w:t>
      </w:r>
      <w:r>
        <w:rPr>
          <w:rFonts w:ascii="Calibri" w:cs="Calibri" w:eastAsia="Calibri" w:hAnsi="Calibri"/>
          <w:b/>
          <w:bCs/>
          <w:i w:val="false"/>
          <w:iCs w:val="false"/>
          <w:strike w:val="false"/>
          <w:color w:val="000000"/>
          <w:sz w:val="22"/>
          <w:szCs w:val="22"/>
        </w:rPr>
        <w:t xml:space="preserve">Regulatory Compliance Matrix</w:t>
      </w:r>
      <w:r>
        <w:rPr>
          <w:rFonts w:ascii="Calibri" w:cs="Calibri" w:eastAsia="Calibri" w:hAnsi="Calibri"/>
          <w:b w:val="false"/>
          <w:bCs w:val="false"/>
          <w:i w:val="false"/>
          <w:iCs w:val="false"/>
          <w:strike w:val="false"/>
          <w:color w:val="000000"/>
          <w:sz w:val="22"/>
          <w:szCs w:val="22"/>
        </w:rPr>
        <w:t xml:space="preserve"> mapping DORA and NIS2 requirements to evidence and assessment status.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A44" w:sz="6"/>
              <w:left w:val="single" w:color="1A2A44" w:sz="6"/>
              <w:bottom w:val="single" w:color="1A2A44" w:sz="6"/>
              <w:right w:val="single" w:color="1A2A44"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1B2D"/>
                <w:sz w:val="22"/>
                <w:szCs w:val="22"/>
              </w:rPr>
              <w:t xml:space="preserve">Important Disclaimer</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entities, case studies, audit logs, test results, and operational data presented in this portfolio are </w:t>
            </w:r>
            <w:r>
              <w:rPr>
                <w:rFonts w:ascii="Calibri" w:cs="Calibri" w:eastAsia="Calibri" w:hAnsi="Calibri"/>
                <w:b/>
                <w:bCs/>
                <w:i w:val="false"/>
                <w:iCs w:val="false"/>
                <w:strike w:val="false"/>
                <w:color w:val="000000"/>
                <w:sz w:val="22"/>
                <w:szCs w:val="22"/>
              </w:rPr>
              <w:t xml:space="preserve">realistic simulations</w:t>
            </w:r>
            <w:r>
              <w:rPr>
                <w:rFonts w:ascii="Calibri" w:cs="Calibri" w:eastAsia="Calibri" w:hAnsi="Calibri"/>
                <w:b w:val="false"/>
                <w:bCs w:val="false"/>
                <w:i w:val="false"/>
                <w:iCs w:val="false"/>
                <w:strike w:val="false"/>
                <w:color w:val="000000"/>
                <w:sz w:val="22"/>
                <w:szCs w:val="22"/>
              </w:rPr>
              <w:t xml:space="preserve"> designed to demonstrate methodology proficiency and professional capability. No real organizational data is disclosed. Entity names such as "EuroFinance Bank," "NordPay Solutions," "HelixBank Digital," and "Continental Shield Insurance" are entirely fictional.</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unified portfolio is intended for </w:t>
      </w:r>
      <w:r>
        <w:rPr>
          <w:rFonts w:ascii="Calibri" w:cs="Calibri" w:eastAsia="Calibri" w:hAnsi="Calibri"/>
          <w:b/>
          <w:bCs/>
          <w:i w:val="false"/>
          <w:iCs w:val="false"/>
          <w:strike w:val="false"/>
          <w:color w:val="000000"/>
          <w:sz w:val="22"/>
          <w:szCs w:val="22"/>
        </w:rPr>
        <w:t xml:space="preserve">EU critical-sector cybersecurity leadership audiences</w:t>
      </w:r>
      <w:r>
        <w:rPr>
          <w:rFonts w:ascii="Calibri" w:cs="Calibri" w:eastAsia="Calibri" w:hAnsi="Calibri"/>
          <w:b w:val="false"/>
          <w:bCs w:val="false"/>
          <w:i w:val="false"/>
          <w:iCs w:val="false"/>
          <w:strike w:val="false"/>
          <w:color w:val="000000"/>
          <w:sz w:val="22"/>
          <w:szCs w:val="22"/>
        </w:rPr>
        <w:t xml:space="preserve">, hiring managers, and regulatory stakeholders seeking evidence of deep, practical competence in operational resilience architecture, compliance design, and adversarial testing within the DORA–NIS2 regulatory ecosystem.</w:t>
      </w: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Table of Contents</w:t>
      </w:r>
    </w:p>
    <w:p>
      <w:pPr>
        <w:pStyle w:val="ListParagraph"/>
        <w:numPr>
          <w:ilvl w:val="0"/>
          <w:numId w:val="2"/>
        </w:numPr>
        <w:spacing w:after="60" w:line="408" w:lineRule="auto"/>
        <w:ind w:left="720" w:hanging="360"/>
      </w:pPr>
      <w:r>
        <w:rPr>
          <w:b/>
          <w:bCs/>
          <w:color w:val="000000"/>
        </w:rPr>
        <w:t xml:space="preserve">Executive Summary</w:t>
      </w:r>
    </w:p>
    <w:p>
      <w:pPr>
        <w:pStyle w:val="ListParagraph"/>
        <w:numPr>
          <w:ilvl w:val="0"/>
          <w:numId w:val="2"/>
        </w:numPr>
        <w:spacing w:after="60" w:line="408" w:lineRule="auto"/>
        <w:ind w:left="720" w:hanging="360"/>
      </w:pPr>
      <w:r>
        <w:rPr>
          <w:b/>
          <w:bCs/>
          <w:color w:val="000000"/>
        </w:rPr>
        <w:t xml:space="preserve">Master Playbook 1: DORA Article 28 — ICT Third-Party Risk Audit Protocol</w:t>
      </w:r>
    </w:p>
    <w:p>
      <w:pPr>
        <w:pStyle w:val="ListParagraph"/>
        <w:numPr>
          <w:ilvl w:val="1"/>
          <w:numId w:val="2"/>
        </w:numPr>
        <w:spacing w:after="60" w:line="408" w:lineRule="auto"/>
        <w:ind w:left="1440" w:hanging="360"/>
      </w:pPr>
      <w:r>
        <w:t xml:space="preserve">Regulatory Foundation</w:t>
      </w:r>
    </w:p>
    <w:p>
      <w:pPr>
        <w:pStyle w:val="ListParagraph"/>
        <w:numPr>
          <w:ilvl w:val="1"/>
          <w:numId w:val="2"/>
        </w:numPr>
        <w:spacing w:after="60" w:line="408" w:lineRule="auto"/>
        <w:ind w:left="1440" w:hanging="360"/>
      </w:pPr>
      <w:r>
        <w:t xml:space="preserve">Third-Party Risk Governance Framework</w:t>
      </w:r>
    </w:p>
    <w:p>
      <w:pPr>
        <w:pStyle w:val="ListParagraph"/>
        <w:numPr>
          <w:ilvl w:val="1"/>
          <w:numId w:val="2"/>
        </w:numPr>
        <w:spacing w:after="60" w:line="408" w:lineRule="auto"/>
        <w:ind w:left="1440" w:hanging="360"/>
      </w:pPr>
      <w:r>
        <w:t xml:space="preserve">Vendor Risk Assessment Protocol</w:t>
      </w:r>
    </w:p>
    <w:p>
      <w:pPr>
        <w:pStyle w:val="ListParagraph"/>
        <w:numPr>
          <w:ilvl w:val="1"/>
          <w:numId w:val="2"/>
        </w:numPr>
        <w:spacing w:after="60" w:line="408" w:lineRule="auto"/>
        <w:ind w:left="1440" w:hanging="360"/>
      </w:pPr>
      <w:r>
        <w:t xml:space="preserve">ICT Concentration Risk Assessment</w:t>
      </w:r>
    </w:p>
    <w:p>
      <w:pPr>
        <w:pStyle w:val="ListParagraph"/>
        <w:numPr>
          <w:ilvl w:val="1"/>
          <w:numId w:val="2"/>
        </w:numPr>
        <w:spacing w:after="60" w:line="408" w:lineRule="auto"/>
        <w:ind w:left="1440" w:hanging="360"/>
      </w:pPr>
      <w:r>
        <w:t xml:space="preserve">Audit Protocol &amp; Evidence Collection</w:t>
      </w:r>
    </w:p>
    <w:p>
      <w:pPr>
        <w:pStyle w:val="ListParagraph"/>
        <w:numPr>
          <w:ilvl w:val="1"/>
          <w:numId w:val="2"/>
        </w:numPr>
        <w:spacing w:after="60" w:line="408" w:lineRule="auto"/>
        <w:ind w:left="1440" w:hanging="360"/>
      </w:pPr>
      <w:r>
        <w:t xml:space="preserve">Case Study: Third-Party Audit of a Cloud Infrastructure Provider</w:t>
      </w:r>
    </w:p>
    <w:p>
      <w:pPr>
        <w:pStyle w:val="ListParagraph"/>
        <w:numPr>
          <w:ilvl w:val="0"/>
          <w:numId w:val="2"/>
        </w:numPr>
        <w:spacing w:after="60" w:line="408" w:lineRule="auto"/>
        <w:ind w:left="720" w:hanging="360"/>
      </w:pPr>
      <w:r>
        <w:rPr>
          <w:b/>
          <w:bCs/>
          <w:color w:val="000000"/>
        </w:rPr>
        <w:t xml:space="preserve">Master Playbook 2: ENISA Risk Assessment &amp; NIS2 Compliance Framework</w:t>
      </w:r>
    </w:p>
    <w:p>
      <w:pPr>
        <w:pStyle w:val="ListParagraph"/>
        <w:numPr>
          <w:ilvl w:val="1"/>
          <w:numId w:val="2"/>
        </w:numPr>
        <w:spacing w:after="60" w:line="408" w:lineRule="auto"/>
        <w:ind w:left="1440" w:hanging="360"/>
      </w:pPr>
      <w:r>
        <w:t xml:space="preserve">ENISA Risk Methodology Overview</w:t>
      </w:r>
    </w:p>
    <w:p>
      <w:pPr>
        <w:pStyle w:val="ListParagraph"/>
        <w:numPr>
          <w:ilvl w:val="1"/>
          <w:numId w:val="2"/>
        </w:numPr>
        <w:spacing w:after="60" w:line="408" w:lineRule="auto"/>
        <w:ind w:left="1440" w:hanging="360"/>
      </w:pPr>
      <w:r>
        <w:t xml:space="preserve">Threat Landscape Analysis</w:t>
      </w:r>
    </w:p>
    <w:p>
      <w:pPr>
        <w:pStyle w:val="ListParagraph"/>
        <w:numPr>
          <w:ilvl w:val="1"/>
          <w:numId w:val="2"/>
        </w:numPr>
        <w:spacing w:after="60" w:line="408" w:lineRule="auto"/>
        <w:ind w:left="1440" w:hanging="360"/>
      </w:pPr>
      <w:r>
        <w:t xml:space="preserve">Risk Register &amp; Treatment Plan</w:t>
      </w:r>
    </w:p>
    <w:p>
      <w:pPr>
        <w:pStyle w:val="ListParagraph"/>
        <w:numPr>
          <w:ilvl w:val="1"/>
          <w:numId w:val="2"/>
        </w:numPr>
        <w:spacing w:after="60" w:line="408" w:lineRule="auto"/>
        <w:ind w:left="1440" w:hanging="360"/>
      </w:pPr>
      <w:r>
        <w:t xml:space="preserve">Policy Framework Aligned to ENISA 13 Domains</w:t>
      </w:r>
    </w:p>
    <w:p>
      <w:pPr>
        <w:pStyle w:val="ListParagraph"/>
        <w:numPr>
          <w:ilvl w:val="1"/>
          <w:numId w:val="2"/>
        </w:numPr>
        <w:spacing w:after="60" w:line="408" w:lineRule="auto"/>
        <w:ind w:left="1440" w:hanging="360"/>
      </w:pPr>
      <w:r>
        <w:t xml:space="preserve">Threat Attribution Narratives</w:t>
      </w:r>
    </w:p>
    <w:p>
      <w:pPr>
        <w:pStyle w:val="ListParagraph"/>
        <w:numPr>
          <w:ilvl w:val="1"/>
          <w:numId w:val="2"/>
        </w:numPr>
        <w:spacing w:after="60" w:line="408" w:lineRule="auto"/>
        <w:ind w:left="1440" w:hanging="360"/>
      </w:pPr>
      <w:r>
        <w:t xml:space="preserve">Case Study: ENISA-Aligned Risk Assessment for a Payment Service Provider</w:t>
      </w:r>
    </w:p>
    <w:p>
      <w:pPr>
        <w:pStyle w:val="ListParagraph"/>
        <w:numPr>
          <w:ilvl w:val="0"/>
          <w:numId w:val="2"/>
        </w:numPr>
        <w:spacing w:after="60" w:line="408" w:lineRule="auto"/>
        <w:ind w:left="720" w:hanging="360"/>
      </w:pPr>
      <w:r>
        <w:rPr>
          <w:b/>
          <w:bCs/>
          <w:color w:val="000000"/>
        </w:rPr>
        <w:t xml:space="preserve">Master Playbook 3: Chaos Engineering &amp; Digital Operational Resilience Testing</w:t>
      </w:r>
    </w:p>
    <w:p>
      <w:pPr>
        <w:pStyle w:val="ListParagraph"/>
        <w:numPr>
          <w:ilvl w:val="1"/>
          <w:numId w:val="2"/>
        </w:numPr>
        <w:spacing w:after="60" w:line="408" w:lineRule="auto"/>
        <w:ind w:left="1440" w:hanging="360"/>
      </w:pPr>
      <w:r>
        <w:t xml:space="preserve">DORA Resilience Testing Framework</w:t>
      </w:r>
    </w:p>
    <w:p>
      <w:pPr>
        <w:pStyle w:val="ListParagraph"/>
        <w:numPr>
          <w:ilvl w:val="1"/>
          <w:numId w:val="2"/>
        </w:numPr>
        <w:spacing w:after="60" w:line="408" w:lineRule="auto"/>
        <w:ind w:left="1440" w:hanging="360"/>
      </w:pPr>
      <w:r>
        <w:t xml:space="preserve">Chaos Engineering Methodology</w:t>
      </w:r>
    </w:p>
    <w:p>
      <w:pPr>
        <w:pStyle w:val="ListParagraph"/>
        <w:numPr>
          <w:ilvl w:val="1"/>
          <w:numId w:val="2"/>
        </w:numPr>
        <w:spacing w:after="60" w:line="408" w:lineRule="auto"/>
        <w:ind w:left="1440" w:hanging="360"/>
      </w:pPr>
      <w:r>
        <w:t xml:space="preserve">Resilience Test Catalog</w:t>
      </w:r>
    </w:p>
    <w:p>
      <w:pPr>
        <w:pStyle w:val="ListParagraph"/>
        <w:numPr>
          <w:ilvl w:val="1"/>
          <w:numId w:val="2"/>
        </w:numPr>
        <w:spacing w:after="60" w:line="408" w:lineRule="auto"/>
        <w:ind w:left="1440" w:hanging="360"/>
      </w:pPr>
      <w:r>
        <w:t xml:space="preserve">Chaos Engineering Execution Logs</w:t>
      </w:r>
    </w:p>
    <w:p>
      <w:pPr>
        <w:pStyle w:val="ListParagraph"/>
        <w:numPr>
          <w:ilvl w:val="1"/>
          <w:numId w:val="2"/>
        </w:numPr>
        <w:spacing w:after="60" w:line="408" w:lineRule="auto"/>
        <w:ind w:left="1440" w:hanging="360"/>
      </w:pPr>
      <w:r>
        <w:t xml:space="preserve">Automated Recovery Test Results</w:t>
      </w:r>
    </w:p>
    <w:p>
      <w:pPr>
        <w:pStyle w:val="ListParagraph"/>
        <w:numPr>
          <w:ilvl w:val="1"/>
          <w:numId w:val="2"/>
        </w:numPr>
        <w:spacing w:after="60" w:line="408" w:lineRule="auto"/>
        <w:ind w:left="1440" w:hanging="360"/>
      </w:pPr>
      <w:r>
        <w:t xml:space="preserve">Case Study: Chaos Engineering Program for a Digital Banking Platform</w:t>
      </w:r>
    </w:p>
    <w:p>
      <w:pPr>
        <w:pStyle w:val="ListParagraph"/>
        <w:numPr>
          <w:ilvl w:val="0"/>
          <w:numId w:val="2"/>
        </w:numPr>
        <w:spacing w:after="60" w:line="408" w:lineRule="auto"/>
        <w:ind w:left="720" w:hanging="360"/>
      </w:pPr>
      <w:r>
        <w:rPr>
          <w:b/>
          <w:bCs/>
          <w:color w:val="000000"/>
        </w:rPr>
        <w:t xml:space="preserve">Master Playbook 4: Remote-First Business Continuity &amp; Automated Recovery Architecture</w:t>
      </w:r>
    </w:p>
    <w:p>
      <w:pPr>
        <w:pStyle w:val="ListParagraph"/>
        <w:numPr>
          <w:ilvl w:val="1"/>
          <w:numId w:val="2"/>
        </w:numPr>
        <w:spacing w:after="60" w:line="408" w:lineRule="auto"/>
        <w:ind w:left="1440" w:hanging="360"/>
      </w:pPr>
      <w:r>
        <w:t xml:space="preserve">Remote-First BCP Design Philosophy</w:t>
      </w:r>
    </w:p>
    <w:p>
      <w:pPr>
        <w:pStyle w:val="ListParagraph"/>
        <w:numPr>
          <w:ilvl w:val="1"/>
          <w:numId w:val="2"/>
        </w:numPr>
        <w:spacing w:after="60" w:line="408" w:lineRule="auto"/>
        <w:ind w:left="1440" w:hanging="360"/>
      </w:pPr>
      <w:r>
        <w:t xml:space="preserve">Business Impact Analysis (BIA)</w:t>
      </w:r>
    </w:p>
    <w:p>
      <w:pPr>
        <w:pStyle w:val="ListParagraph"/>
        <w:numPr>
          <w:ilvl w:val="1"/>
          <w:numId w:val="2"/>
        </w:numPr>
        <w:spacing w:after="60" w:line="408" w:lineRule="auto"/>
        <w:ind w:left="1440" w:hanging="360"/>
      </w:pPr>
      <w:r>
        <w:t xml:space="preserve">Remote-First BCP Architecture</w:t>
      </w:r>
    </w:p>
    <w:p>
      <w:pPr>
        <w:pStyle w:val="ListParagraph"/>
        <w:numPr>
          <w:ilvl w:val="1"/>
          <w:numId w:val="2"/>
        </w:numPr>
        <w:spacing w:after="60" w:line="408" w:lineRule="auto"/>
        <w:ind w:left="1440" w:hanging="360"/>
      </w:pPr>
      <w:r>
        <w:t xml:space="preserve">Automated Recovery Playbooks</w:t>
      </w:r>
    </w:p>
    <w:p>
      <w:pPr>
        <w:pStyle w:val="ListParagraph"/>
        <w:numPr>
          <w:ilvl w:val="1"/>
          <w:numId w:val="2"/>
        </w:numPr>
        <w:spacing w:after="60" w:line="408" w:lineRule="auto"/>
        <w:ind w:left="1440" w:hanging="360"/>
      </w:pPr>
      <w:r>
        <w:t xml:space="preserve">Recovery Validation &amp; Testing Schedule</w:t>
      </w:r>
    </w:p>
    <w:p>
      <w:pPr>
        <w:pStyle w:val="ListParagraph"/>
        <w:numPr>
          <w:ilvl w:val="1"/>
          <w:numId w:val="2"/>
        </w:numPr>
        <w:spacing w:after="60" w:line="408" w:lineRule="auto"/>
        <w:ind w:left="1440" w:hanging="360"/>
      </w:pPr>
      <w:r>
        <w:t xml:space="preserve">Case Study: Remote-First BCP Deployment for a Pan-European Insurer</w:t>
      </w:r>
    </w:p>
    <w:p>
      <w:pPr>
        <w:pStyle w:val="ListParagraph"/>
        <w:numPr>
          <w:ilvl w:val="0"/>
          <w:numId w:val="2"/>
        </w:numPr>
        <w:spacing w:after="60" w:line="408" w:lineRule="auto"/>
        <w:ind w:left="720" w:hanging="360"/>
      </w:pPr>
      <w:r>
        <w:rPr>
          <w:b/>
          <w:bCs/>
          <w:color w:val="000000"/>
        </w:rPr>
        <w:t xml:space="preserve">KPI Dashboard &amp; Operational Metrics</w:t>
      </w:r>
    </w:p>
    <w:p>
      <w:pPr>
        <w:pStyle w:val="ListParagraph"/>
        <w:numPr>
          <w:ilvl w:val="1"/>
          <w:numId w:val="2"/>
        </w:numPr>
        <w:spacing w:after="60" w:line="408" w:lineRule="auto"/>
        <w:ind w:left="1440" w:hanging="360"/>
      </w:pPr>
      <w:r>
        <w:t xml:space="preserve">Resilience KPI Framework</w:t>
      </w:r>
    </w:p>
    <w:p>
      <w:pPr>
        <w:pStyle w:val="ListParagraph"/>
        <w:numPr>
          <w:ilvl w:val="1"/>
          <w:numId w:val="2"/>
        </w:numPr>
        <w:spacing w:after="60" w:line="408" w:lineRule="auto"/>
        <w:ind w:left="1440" w:hanging="360"/>
      </w:pPr>
      <w:r>
        <w:t xml:space="preserve">Trend Analysis &amp; Reporting</w:t>
      </w:r>
    </w:p>
    <w:p>
      <w:pPr>
        <w:pStyle w:val="ListParagraph"/>
        <w:numPr>
          <w:ilvl w:val="0"/>
          <w:numId w:val="2"/>
        </w:numPr>
        <w:spacing w:after="60" w:line="408" w:lineRule="auto"/>
        <w:ind w:left="720" w:hanging="360"/>
      </w:pPr>
      <w:r>
        <w:rPr>
          <w:b/>
          <w:bCs/>
          <w:color w:val="000000"/>
        </w:rPr>
        <w:t xml:space="preserve">Audit Log Compendium</w:t>
      </w:r>
    </w:p>
    <w:p>
      <w:pPr>
        <w:pStyle w:val="ListParagraph"/>
        <w:numPr>
          <w:ilvl w:val="1"/>
          <w:numId w:val="2"/>
        </w:numPr>
        <w:spacing w:after="60" w:line="408" w:lineRule="auto"/>
        <w:ind w:left="1440" w:hanging="360"/>
      </w:pPr>
      <w:r>
        <w:t xml:space="preserve">Master Audit Trail</w:t>
      </w:r>
    </w:p>
    <w:p>
      <w:pPr>
        <w:pStyle w:val="ListParagraph"/>
        <w:numPr>
          <w:ilvl w:val="1"/>
          <w:numId w:val="2"/>
        </w:numPr>
        <w:spacing w:after="60" w:line="408" w:lineRule="auto"/>
        <w:ind w:left="1440" w:hanging="360"/>
      </w:pPr>
      <w:r>
        <w:t xml:space="preserve">Regulatory Compliance Matrix</w:t>
      </w:r>
    </w:p>
    <w:p>
      <w:pPr>
        <w:pStyle w:val="ListParagraph"/>
        <w:numPr>
          <w:ilvl w:val="0"/>
          <w:numId w:val="2"/>
        </w:numPr>
        <w:spacing w:after="60" w:line="408" w:lineRule="auto"/>
        <w:ind w:left="720" w:hanging="360"/>
      </w:pPr>
      <w:r>
        <w:rPr>
          <w:b/>
          <w:bCs/>
          <w:color w:val="000000"/>
        </w:rPr>
        <w:t xml:space="preserve">Appendices</w:t>
      </w:r>
    </w:p>
    <w:p>
      <w:pPr>
        <w:pStyle w:val="ListParagraph"/>
        <w:numPr>
          <w:ilvl w:val="1"/>
          <w:numId w:val="2"/>
        </w:numPr>
        <w:spacing w:after="60" w:line="408" w:lineRule="auto"/>
        <w:ind w:left="1440" w:hanging="360"/>
      </w:pPr>
      <w:r>
        <w:t xml:space="preserve">Appendix A: Glossary of Terms</w:t>
      </w:r>
    </w:p>
    <w:p>
      <w:pPr>
        <w:pStyle w:val="ListParagraph"/>
        <w:numPr>
          <w:ilvl w:val="1"/>
          <w:numId w:val="2"/>
        </w:numPr>
        <w:spacing w:after="60" w:line="408" w:lineRule="auto"/>
        <w:ind w:left="1440" w:hanging="360"/>
      </w:pPr>
      <w:r>
        <w:t xml:space="preserve">Appendix B: Regulatory Reference Map</w:t>
      </w:r>
    </w:p>
    <w:p>
      <w:pPr>
        <w:pStyle w:val="ListParagraph"/>
        <w:numPr>
          <w:ilvl w:val="1"/>
          <w:numId w:val="2"/>
        </w:numPr>
        <w:spacing w:after="60" w:line="408" w:lineRule="auto"/>
        <w:ind w:left="1440" w:hanging="360"/>
      </w:pPr>
      <w:r>
        <w:t xml:space="preserve">Appendix C: Document Control</w:t>
      </w:r>
    </w:p>
    <w:p>
      <w:pPr>
        <w:pStyle w:val="ListParagraph"/>
        <w:numPr>
          <w:ilvl w:val="1"/>
          <w:numId w:val="2"/>
        </w:numPr>
        <w:spacing w:after="60" w:line="408" w:lineRule="auto"/>
        <w:ind w:left="1440" w:hanging="360"/>
      </w:pPr>
      <w:r>
        <w:t xml:space="preserve">Appendix D: Professional Profile</w:t>
      </w: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Master Playbook 1: DORA Article 28 — ICT Third-Party Risk Audit Protocol</w:t>
      </w:r>
    </w:p>
    <w:p>
      <w:pPr>
        <w:pStyle w:val="Heading2"/>
        <w:spacing w:after="120" w:before="360" w:line="312" w:lineRule="auto"/>
      </w:pPr>
      <w:r>
        <w:rPr>
          <w:rFonts w:ascii="Calibri" w:cs="Calibri" w:eastAsia="Calibri" w:hAnsi="Calibri"/>
          <w:color w:val="0F1B2D"/>
          <w:sz w:val="36"/>
          <w:szCs w:val="36"/>
        </w:rPr>
        <w:t xml:space="preserve">1.1 Regulatory Foundation</w:t>
      </w:r>
    </w:p>
    <w:p>
      <w:pPr>
        <w:spacing w:after="120" w:before="60" w:line="360" w:lineRule="auto"/>
      </w:pPr>
      <w:r>
        <w:rPr>
          <w:rFonts w:ascii="Calibri" w:cs="Calibri" w:eastAsia="Calibri" w:hAnsi="Calibri"/>
          <w:b/>
          <w:bCs/>
          <w:i w:val="false"/>
          <w:iCs w:val="false"/>
          <w:strike w:val="false"/>
          <w:color w:val="000000"/>
          <w:sz w:val="22"/>
          <w:szCs w:val="22"/>
        </w:rPr>
        <w:t xml:space="preserve">DORA (Regulation (EU) 2022/2554)</w:t>
      </w:r>
      <w:r>
        <w:rPr>
          <w:rFonts w:ascii="Calibri" w:cs="Calibri" w:eastAsia="Calibri" w:hAnsi="Calibri"/>
          <w:b w:val="false"/>
          <w:bCs w:val="false"/>
          <w:i w:val="false"/>
          <w:iCs w:val="false"/>
          <w:strike w:val="false"/>
          <w:color w:val="000000"/>
          <w:sz w:val="22"/>
          <w:szCs w:val="22"/>
        </w:rPr>
        <w:t xml:space="preserve">, Article 28, establishes the general principles on ICT third-party risk management for financial entities operating within the European Union. These principles form the bedrock upon which all vendor governance, contractual assurance, and audit activities in this playbook are constructed.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core regulatory requirements are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Integral Risk Management:</w:t>
      </w:r>
      <w:r>
        <w:rPr>
          <w:rFonts w:ascii="Calibri" w:cs="Calibri" w:eastAsia="Calibri" w:hAnsi="Calibri"/>
          <w:b w:val="false"/>
          <w:bCs w:val="false"/>
          <w:i w:val="false"/>
          <w:iCs w:val="false"/>
          <w:strike w:val="false"/>
          <w:color w:val="000000"/>
          <w:sz w:val="22"/>
          <w:szCs w:val="22"/>
        </w:rPr>
        <w:t xml:space="preserve"> Financial entities must manage ICT third-party risk as an integral component of their overall ICT risk management framework established under </w:t>
      </w:r>
      <w:r>
        <w:rPr>
          <w:rFonts w:ascii="Calibri" w:cs="Calibri" w:eastAsia="Calibri" w:hAnsi="Calibri"/>
          <w:b w:val="false"/>
          <w:bCs w:val="false"/>
          <w:i/>
          <w:iCs/>
          <w:strike w:val="false"/>
          <w:color w:val="000000"/>
          <w:sz w:val="22"/>
          <w:szCs w:val="22"/>
        </w:rPr>
        <w:t xml:space="preserve">Article 6</w:t>
      </w:r>
      <w:r>
        <w:rPr>
          <w:rFonts w:ascii="Calibri" w:cs="Calibri" w:eastAsia="Calibri" w:hAnsi="Calibri"/>
          <w:b w:val="false"/>
          <w:bCs w:val="false"/>
          <w:i w:val="false"/>
          <w:iCs w:val="false"/>
          <w:strike w:val="false"/>
          <w:color w:val="000000"/>
          <w:sz w:val="22"/>
          <w:szCs w:val="22"/>
        </w:rPr>
        <w:t xml:space="preserve">. Third-party risk is not a supplementary concern — it is foundational to digital operational resilience.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Responsibility Retention:</w:t>
      </w:r>
      <w:r>
        <w:rPr>
          <w:rFonts w:ascii="Calibri" w:cs="Calibri" w:eastAsia="Calibri" w:hAnsi="Calibri"/>
          <w:b w:val="false"/>
          <w:bCs w:val="false"/>
          <w:i w:val="false"/>
          <w:iCs w:val="false"/>
          <w:strike w:val="false"/>
          <w:color w:val="000000"/>
          <w:sz w:val="22"/>
          <w:szCs w:val="22"/>
        </w:rPr>
        <w:t xml:space="preserve"> Entities remain fully responsible for compliance with all obligations under DORA, even when ICT services supporting critical or important functions are outsourced to third-party providers. Delegation of function does not imply delegation of accountability.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Proportionality Principle:</w:t>
      </w:r>
      <w:r>
        <w:rPr>
          <w:rFonts w:ascii="Calibri" w:cs="Calibri" w:eastAsia="Calibri" w:hAnsi="Calibri"/>
          <w:b w:val="false"/>
          <w:bCs w:val="false"/>
          <w:i w:val="false"/>
          <w:iCs w:val="false"/>
          <w:strike w:val="false"/>
          <w:color w:val="000000"/>
          <w:sz w:val="22"/>
          <w:szCs w:val="22"/>
        </w:rPr>
        <w:t xml:space="preserve"> Risk management measures must be proportionate to the nature, scale, complexity, and importance of ICT dependencies. A Tier 1 bank's cloud hosting relationship demands fundamentally different governance than a small payment institution's email service.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Multi-Vendor Strategy:</w:t>
      </w:r>
      <w:r>
        <w:rPr>
          <w:rFonts w:ascii="Calibri" w:cs="Calibri" w:eastAsia="Calibri" w:hAnsi="Calibri"/>
          <w:b w:val="false"/>
          <w:bCs w:val="false"/>
          <w:i w:val="false"/>
          <w:iCs w:val="false"/>
          <w:strike w:val="false"/>
          <w:color w:val="000000"/>
          <w:sz w:val="22"/>
          <w:szCs w:val="22"/>
        </w:rPr>
        <w:t xml:space="preserve"> Per </w:t>
      </w:r>
      <w:r>
        <w:rPr>
          <w:rFonts w:ascii="Calibri" w:cs="Calibri" w:eastAsia="Calibri" w:hAnsi="Calibri"/>
          <w:b w:val="false"/>
          <w:bCs w:val="false"/>
          <w:i/>
          <w:iCs/>
          <w:strike w:val="false"/>
          <w:color w:val="000000"/>
          <w:sz w:val="22"/>
          <w:szCs w:val="22"/>
        </w:rPr>
        <w:t xml:space="preserve">Article 6(9)</w:t>
      </w:r>
      <w:r>
        <w:rPr>
          <w:rFonts w:ascii="Calibri" w:cs="Calibri" w:eastAsia="Calibri" w:hAnsi="Calibri"/>
          <w:b w:val="false"/>
          <w:bCs w:val="false"/>
          <w:i w:val="false"/>
          <w:iCs w:val="false"/>
          <w:strike w:val="false"/>
          <w:color w:val="000000"/>
          <w:sz w:val="22"/>
          <w:szCs w:val="22"/>
        </w:rPr>
        <w:t xml:space="preserve">, financial entities must adopt and regularly review a strategy on ICT third-party risk, including, where appropriate, a multi-vendor strategy. This strategy must account for the concentration risk inherent in over-reliance on single providers.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Register of Information:</w:t>
      </w:r>
      <w:r>
        <w:rPr>
          <w:rFonts w:ascii="Calibri" w:cs="Calibri" w:eastAsia="Calibri" w:hAnsi="Calibri"/>
          <w:b w:val="false"/>
          <w:bCs w:val="false"/>
          <w:i w:val="false"/>
          <w:iCs w:val="false"/>
          <w:strike w:val="false"/>
          <w:color w:val="000000"/>
          <w:sz w:val="22"/>
          <w:szCs w:val="22"/>
        </w:rPr>
        <w:t xml:space="preserve"> Entities must maintain and update a register of information relating to all contractual arrangements on the use of ICT services provided by third-party service providers. This register must distinguish between services supporting critical or important functions and other services.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Annual Reporting:</w:t>
      </w:r>
      <w:r>
        <w:rPr>
          <w:rFonts w:ascii="Calibri" w:cs="Calibri" w:eastAsia="Calibri" w:hAnsi="Calibri"/>
          <w:b w:val="false"/>
          <w:bCs w:val="false"/>
          <w:i w:val="false"/>
          <w:iCs w:val="false"/>
          <w:strike w:val="false"/>
          <w:color w:val="000000"/>
          <w:sz w:val="22"/>
          <w:szCs w:val="22"/>
        </w:rPr>
        <w:t xml:space="preserve"> Financial entities must report to competent authorities, at minimum annually, on the number of new arrangements on the use of ICT services, the categories of ICT third-party service providers, the type of contractual arrangements, and the ICT services and functions provided.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Management Body Oversight:</w:t>
      </w:r>
      <w:r>
        <w:rPr>
          <w:rFonts w:ascii="Calibri" w:cs="Calibri" w:eastAsia="Calibri" w:hAnsi="Calibri"/>
          <w:b w:val="false"/>
          <w:bCs w:val="false"/>
          <w:i w:val="false"/>
          <w:iCs w:val="false"/>
          <w:strike w:val="false"/>
          <w:color w:val="000000"/>
          <w:sz w:val="22"/>
          <w:szCs w:val="22"/>
        </w:rPr>
        <w:t xml:space="preserve"> Per </w:t>
      </w:r>
      <w:r>
        <w:rPr>
          <w:rFonts w:ascii="Calibri" w:cs="Calibri" w:eastAsia="Calibri" w:hAnsi="Calibri"/>
          <w:b w:val="false"/>
          <w:bCs w:val="false"/>
          <w:i/>
          <w:iCs/>
          <w:strike w:val="false"/>
          <w:color w:val="000000"/>
          <w:sz w:val="22"/>
          <w:szCs w:val="22"/>
        </w:rPr>
        <w:t xml:space="preserve">Article 28(2)</w:t>
      </w:r>
      <w:r>
        <w:rPr>
          <w:rFonts w:ascii="Calibri" w:cs="Calibri" w:eastAsia="Calibri" w:hAnsi="Calibri"/>
          <w:b w:val="false"/>
          <w:bCs w:val="false"/>
          <w:i w:val="false"/>
          <w:iCs w:val="false"/>
          <w:strike w:val="false"/>
          <w:color w:val="000000"/>
          <w:sz w:val="22"/>
          <w:szCs w:val="22"/>
        </w:rPr>
        <w:t xml:space="preserve">, the management body of the financial entity must approve and periodically review the policy on the use of ICT services provided by third-party service providers, including at the individual and consolidated or sub-consolidated level.</w:t>
      </w:r>
    </w:p>
    <w:p>
      <w:pPr>
        <w:pStyle w:val="Heading2"/>
        <w:spacing w:after="120" w:before="360" w:line="312" w:lineRule="auto"/>
      </w:pPr>
      <w:r>
        <w:rPr>
          <w:rFonts w:ascii="Calibri" w:cs="Calibri" w:eastAsia="Calibri" w:hAnsi="Calibri"/>
          <w:color w:val="0F1B2D"/>
          <w:sz w:val="36"/>
          <w:szCs w:val="36"/>
        </w:rPr>
        <w:t xml:space="preserve">1.2 Third-Party Risk Governance Framework</w:t>
      </w:r>
    </w:p>
    <w:p>
      <w:pPr>
        <w:pStyle w:val="Heading3"/>
        <w:spacing w:after="120" w:before="240" w:line="312" w:lineRule="auto"/>
      </w:pPr>
      <w:r>
        <w:rPr>
          <w:rFonts w:ascii="Calibri" w:cs="Calibri" w:eastAsia="Calibri" w:hAnsi="Calibri"/>
          <w:color w:val="1A2A44"/>
          <w:sz w:val="28"/>
          <w:szCs w:val="28"/>
        </w:rPr>
        <w:t xml:space="preserve">Governance Roles &amp; Responsibilities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Role</w:t>
            </w:r>
          </w:p>
        </w:tc>
        <w:tc>
          <w:tcPr>
            <w:tcW w:type="pct" w:w="6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Responsibilities</w:t>
            </w:r>
          </w:p>
        </w:tc>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Reporting Line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Chief Risk Officer (CRO)</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Ultimate accountability for ICT third-party risk; presents risk posture to management body; approves risk acceptance decisions above defined thresholds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Management Body / Board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ICT Third-Party Risk Manager</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Day-to-day management of vendor risk lifecycle; maintains register of information; coordinates risk assessments; manages escalation workflows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Lead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Designs and executes audit protocols; collects and validates evidence; issues findings and tracks remediation; ensures independence of audit function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Audit / CRO</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Vendor Relationship Manager</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contact with ICT third-party providers; manages SLA performance; coordinates contractual amendments; facilitates provider communication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Manager</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Governance Lifecycle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ICT third-party risk governance cycle follows five continuous phases: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Identification:</w:t>
      </w:r>
      <w:r>
        <w:rPr>
          <w:rFonts w:ascii="Calibri" w:cs="Calibri" w:eastAsia="Calibri" w:hAnsi="Calibri"/>
          <w:b w:val="false"/>
          <w:bCs w:val="false"/>
          <w:i w:val="false"/>
          <w:iCs w:val="false"/>
          <w:strike w:val="false"/>
          <w:color w:val="000000"/>
          <w:sz w:val="22"/>
          <w:szCs w:val="22"/>
        </w:rPr>
        <w:t xml:space="preserve"> Catalog all ICT third-party service providers. Classify each arrangement as supporting </w:t>
      </w:r>
      <w:r>
        <w:rPr>
          <w:rFonts w:ascii="Calibri" w:cs="Calibri" w:eastAsia="Calibri" w:hAnsi="Calibri"/>
          <w:b w:val="false"/>
          <w:bCs w:val="false"/>
          <w:i/>
          <w:iCs/>
          <w:strike w:val="false"/>
          <w:color w:val="000000"/>
          <w:sz w:val="22"/>
          <w:szCs w:val="22"/>
        </w:rPr>
        <w:t xml:space="preserve">critical or important functions</w:t>
      </w:r>
      <w:r>
        <w:rPr>
          <w:rFonts w:ascii="Calibri" w:cs="Calibri" w:eastAsia="Calibri" w:hAnsi="Calibri"/>
          <w:b w:val="false"/>
          <w:bCs w:val="false"/>
          <w:i w:val="false"/>
          <w:iCs w:val="false"/>
          <w:strike w:val="false"/>
          <w:color w:val="000000"/>
          <w:sz w:val="22"/>
          <w:szCs w:val="22"/>
        </w:rPr>
        <w:t xml:space="preserve"> versus standard services. Update the register of information.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Assessment:</w:t>
      </w:r>
      <w:r>
        <w:rPr>
          <w:rFonts w:ascii="Calibri" w:cs="Calibri" w:eastAsia="Calibri" w:hAnsi="Calibri"/>
          <w:b w:val="false"/>
          <w:bCs w:val="false"/>
          <w:i w:val="false"/>
          <w:iCs w:val="false"/>
          <w:strike w:val="false"/>
          <w:color w:val="000000"/>
          <w:sz w:val="22"/>
          <w:szCs w:val="22"/>
        </w:rPr>
        <w:t xml:space="preserve"> Conduct pre-engagement due diligence for new providers. Perform periodic risk reassessment for existing providers (annual for critical, biennial for standard). Apply the risk scoring matrix.</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Contracting:</w:t>
      </w:r>
      <w:r>
        <w:rPr>
          <w:rFonts w:ascii="Calibri" w:cs="Calibri" w:eastAsia="Calibri" w:hAnsi="Calibri"/>
          <w:b w:val="false"/>
          <w:bCs w:val="false"/>
          <w:i w:val="false"/>
          <w:iCs w:val="false"/>
          <w:strike w:val="false"/>
          <w:color w:val="000000"/>
          <w:sz w:val="22"/>
          <w:szCs w:val="22"/>
        </w:rPr>
        <w:t xml:space="preserve"> Ensure all contractual arrangements include mandatory clauses per </w:t>
      </w:r>
      <w:r>
        <w:rPr>
          <w:rFonts w:ascii="Calibri" w:cs="Calibri" w:eastAsia="Calibri" w:hAnsi="Calibri"/>
          <w:b w:val="false"/>
          <w:bCs w:val="false"/>
          <w:i/>
          <w:iCs/>
          <w:strike w:val="false"/>
          <w:color w:val="000000"/>
          <w:sz w:val="22"/>
          <w:szCs w:val="22"/>
        </w:rPr>
        <w:t xml:space="preserve">RTS 2024/1773</w:t>
      </w:r>
      <w:r>
        <w:rPr>
          <w:rFonts w:ascii="Calibri" w:cs="Calibri" w:eastAsia="Calibri" w:hAnsi="Calibri"/>
          <w:b w:val="false"/>
          <w:bCs w:val="false"/>
          <w:i w:val="false"/>
          <w:iCs w:val="false"/>
          <w:strike w:val="false"/>
          <w:color w:val="000000"/>
          <w:sz w:val="22"/>
          <w:szCs w:val="22"/>
        </w:rPr>
        <w:t xml:space="preserve">. Negotiate audit rights, exit provisions, and data portability terms.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Monitoring:</w:t>
      </w:r>
      <w:r>
        <w:rPr>
          <w:rFonts w:ascii="Calibri" w:cs="Calibri" w:eastAsia="Calibri" w:hAnsi="Calibri"/>
          <w:b w:val="false"/>
          <w:bCs w:val="false"/>
          <w:i w:val="false"/>
          <w:iCs w:val="false"/>
          <w:strike w:val="false"/>
          <w:color w:val="000000"/>
          <w:sz w:val="22"/>
          <w:szCs w:val="22"/>
        </w:rPr>
        <w:t xml:space="preserve"> Continuous SLA performance tracking. Ongoing threat intelligence integration. Trigger-based reassessment upon material changes (e.g., subcontracting, data center relocation, security incidents).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Exit Planning:</w:t>
      </w:r>
      <w:r>
        <w:rPr>
          <w:rFonts w:ascii="Calibri" w:cs="Calibri" w:eastAsia="Calibri" w:hAnsi="Calibri"/>
          <w:b w:val="false"/>
          <w:bCs w:val="false"/>
          <w:i w:val="false"/>
          <w:iCs w:val="false"/>
          <w:strike w:val="false"/>
          <w:color w:val="000000"/>
          <w:sz w:val="22"/>
          <w:szCs w:val="22"/>
        </w:rPr>
        <w:t xml:space="preserve"> Maintain tested exit strategies for all critical providers. Ensure data portability and service continuity during transition. Validate substitute provider readiness.</w:t>
      </w:r>
    </w:p>
    <w:p>
      <w:pPr>
        <w:pStyle w:val="Heading3"/>
        <w:spacing w:after="120" w:before="240" w:line="312" w:lineRule="auto"/>
      </w:pPr>
      <w:r>
        <w:rPr>
          <w:rFonts w:ascii="Calibri" w:cs="Calibri" w:eastAsia="Calibri" w:hAnsi="Calibri"/>
          <w:color w:val="1A2A44"/>
          <w:sz w:val="28"/>
          <w:szCs w:val="28"/>
        </w:rPr>
        <w:t xml:space="preserve">Decision Matrix: ICT Service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Classification</w:t>
            </w:r>
          </w:p>
        </w:tc>
        <w:tc>
          <w:tcPr>
            <w:tcW w:type="pct" w:w="4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Definition</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Assessment Frequency</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Contractual Rigor</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Escalation Level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Supports a critical or important function; disruption would materially impact financial stability, service continuity, or regulatory compliance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 trigger-based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RTS 2024/1773 clauses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Management Body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Important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Supports significant operational processes; disruption would cause degradation but not immediate material impact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Extended standard clauses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Standard</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Supports non-critical functions; alternative arrangements readily available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Biennial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contractual terms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Manager</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1.3 Vendor Risk Assessment Protocol</w:t>
      </w:r>
    </w:p>
    <w:p>
      <w:pPr>
        <w:pStyle w:val="Heading3"/>
        <w:spacing w:after="120" w:before="240" w:line="312" w:lineRule="auto"/>
      </w:pPr>
      <w:r>
        <w:rPr>
          <w:rFonts w:ascii="Calibri" w:cs="Calibri" w:eastAsia="Calibri" w:hAnsi="Calibri"/>
          <w:color w:val="1A2A44"/>
          <w:sz w:val="28"/>
          <w:szCs w:val="28"/>
        </w:rPr>
        <w:t xml:space="preserve">Pre-Engagement Due Diligence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w:t>
            </w:r>
          </w:p>
        </w:tc>
        <w:tc>
          <w:tcPr>
            <w:tcW w:type="pct" w:w="4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Due Diligence Item</w:t>
            </w:r>
          </w:p>
        </w:tc>
        <w:tc>
          <w:tcPr>
            <w:tcW w:type="pct" w:w="3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Evidence Required</w:t>
            </w:r>
          </w:p>
        </w:tc>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Mandatory for Critical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Corporate registration &amp; financial stability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reports, credit ratings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center geographic locations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Facility addresses, jurisdictional analysis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 27001 / SOC 2 certification status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certificates, scope statements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&amp; disaster recovery capabilities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BCP/DR plans, test results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Subcontracting arrangements &amp; chain dependencies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Subcontractor register, flow-down provisions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incident history (past 3 years)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reports, breach disclosures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definitions with measurable metrics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documentation, performance dashboards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encryption standards (at rest &amp; in transit)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architecture documentation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Regulatory compliance status (GDPR, DORA, NIS2)</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attestations, audit reports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&amp; inspection right provisions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Draft contractual clauses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strategy &amp; data portability mechanisms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Transition plan templates, data formats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personnel qualifications &amp; background checks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Staff credentials, vetting policies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Patch management &amp; vulnerability remediation SLA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Patching policy, mean time to remediate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Insurance coverage (cyber liability, E&amp;O)</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of insurance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Recommended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Environmental &amp; physical security controls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Physical security assessment, SOC 2 Type II</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Recommended</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Risk Scoring Matrix (5×5)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4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Likelihood ↓ / Impact →</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1 – Negligible</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2 – Minor</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3 – Moderate</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4 – Major</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5 – Severe</w:t>
            </w:r>
          </w:p>
        </w:tc>
      </w:tr>
      <w:tr>
        <w:trPr>
          <w:tblHeader w:val="false"/>
        </w:trPr>
        <w:tc>
          <w:tcPr>
            <w:tcW w:type="pct" w:w="4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 Almost Certain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w:t>
            </w:r>
          </w:p>
        </w:tc>
      </w:tr>
      <w:tr>
        <w:trPr>
          <w:tblHeader w:val="false"/>
        </w:trPr>
        <w:tc>
          <w:tcPr>
            <w:tcW w:type="pct" w:w="4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 – Likely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r>
      <w:tr>
        <w:trPr>
          <w:tblHeader w:val="false"/>
        </w:trPr>
        <w:tc>
          <w:tcPr>
            <w:tcW w:type="pct" w:w="4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 – Possible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r>
      <w:tr>
        <w:trPr>
          <w:tblHeader w:val="false"/>
        </w:trPr>
        <w:tc>
          <w:tcPr>
            <w:tcW w:type="pct" w:w="4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 – Unlikely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4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 Rare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Thresholds:</w:t>
      </w:r>
      <w:r>
        <w:rPr>
          <w:rFonts w:ascii="Calibri" w:cs="Calibri" w:eastAsia="Calibri" w:hAnsi="Calibri"/>
          <w:b w:val="false"/>
          <w:bCs w:val="false"/>
          <w:i w:val="false"/>
          <w:iCs w:val="false"/>
          <w:strike w:val="false"/>
          <w:color w:val="000000"/>
          <w:sz w:val="22"/>
          <w:szCs w:val="22"/>
        </w:rPr>
        <w:t xml:space="preserve"> Score 1–6 = </w:t>
      </w:r>
      <w:r>
        <w:rPr>
          <w:rFonts w:ascii="Calibri" w:cs="Calibri" w:eastAsia="Calibri" w:hAnsi="Calibri"/>
          <w:b w:val="false"/>
          <w:bCs w:val="false"/>
          <w:i w:val="false"/>
          <w:iCs w:val="false"/>
          <w:strike w:val="false"/>
          <w:color w:val="1A7A1A"/>
          <w:sz w:val="22"/>
          <w:szCs w:val="22"/>
        </w:rPr>
        <w:t xml:space="preserve">Accept</w:t>
      </w:r>
      <w:r>
        <w:rPr>
          <w:rFonts w:ascii="Calibri" w:cs="Calibri" w:eastAsia="Calibri" w:hAnsi="Calibri"/>
          <w:b w:val="false"/>
          <w:bCs w:val="false"/>
          <w:i w:val="false"/>
          <w:iCs w:val="false"/>
          <w:strike w:val="false"/>
          <w:color w:val="000000"/>
          <w:sz w:val="22"/>
          <w:szCs w:val="22"/>
        </w:rPr>
        <w:t xml:space="preserve"> | Score 7–14 = </w:t>
      </w:r>
      <w:r>
        <w:rPr>
          <w:rFonts w:ascii="Calibri" w:cs="Calibri" w:eastAsia="Calibri" w:hAnsi="Calibri"/>
          <w:b w:val="false"/>
          <w:bCs w:val="false"/>
          <w:i w:val="false"/>
          <w:iCs w:val="false"/>
          <w:strike w:val="false"/>
          <w:color w:val="CC7A00"/>
          <w:sz w:val="22"/>
          <w:szCs w:val="22"/>
        </w:rPr>
        <w:t xml:space="preserve">Mitigate</w:t>
      </w:r>
      <w:r>
        <w:rPr>
          <w:rFonts w:ascii="Calibri" w:cs="Calibri" w:eastAsia="Calibri" w:hAnsi="Calibri"/>
          <w:b w:val="false"/>
          <w:bCs w:val="false"/>
          <w:i w:val="false"/>
          <w:iCs w:val="false"/>
          <w:strike w:val="false"/>
          <w:color w:val="000000"/>
          <w:sz w:val="22"/>
          <w:szCs w:val="22"/>
        </w:rPr>
        <w:t xml:space="preserve"> | Score 15–25 = </w:t>
      </w:r>
      <w:r>
        <w:rPr>
          <w:rFonts w:ascii="Calibri" w:cs="Calibri" w:eastAsia="Calibri" w:hAnsi="Calibri"/>
          <w:b w:val="false"/>
          <w:bCs w:val="false"/>
          <w:i w:val="false"/>
          <w:iCs w:val="false"/>
          <w:strike w:val="false"/>
          <w:color w:val="CC0000"/>
          <w:sz w:val="22"/>
          <w:szCs w:val="22"/>
        </w:rPr>
        <w:t xml:space="preserve">Reject / Escalate</w:t>
      </w:r>
    </w:p>
    <w:p>
      <w:pPr>
        <w:pStyle w:val="Heading3"/>
        <w:spacing w:after="120" w:before="240" w:line="312" w:lineRule="auto"/>
      </w:pPr>
      <w:r>
        <w:rPr>
          <w:rFonts w:ascii="Calibri" w:cs="Calibri" w:eastAsia="Calibri" w:hAnsi="Calibri"/>
          <w:color w:val="1A2A44"/>
          <w:sz w:val="28"/>
          <w:szCs w:val="28"/>
        </w:rPr>
        <w:t xml:space="preserve">Mandatory Contractual Clauses per RTS 2024/1773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Detailed Service Description:</w:t>
      </w:r>
      <w:r>
        <w:rPr>
          <w:rFonts w:ascii="Calibri" w:cs="Calibri" w:eastAsia="Calibri" w:hAnsi="Calibri"/>
          <w:b w:val="false"/>
          <w:bCs w:val="false"/>
          <w:i w:val="false"/>
          <w:iCs w:val="false"/>
          <w:strike w:val="false"/>
          <w:color w:val="000000"/>
          <w:sz w:val="22"/>
          <w:szCs w:val="22"/>
        </w:rPr>
        <w:t xml:space="preserve"> Complete specification of ICT services provided, including geographic location of all data centers where data is processed or stored, and all jurisdictions relevant to data processing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SLA with Measurable Metrics:</w:t>
      </w:r>
      <w:r>
        <w:rPr>
          <w:rFonts w:ascii="Calibri" w:cs="Calibri" w:eastAsia="Calibri" w:hAnsi="Calibri"/>
          <w:b w:val="false"/>
          <w:bCs w:val="false"/>
          <w:i w:val="false"/>
          <w:iCs w:val="false"/>
          <w:strike w:val="false"/>
          <w:color w:val="000000"/>
          <w:sz w:val="22"/>
          <w:szCs w:val="22"/>
        </w:rPr>
        <w:t xml:space="preserve"> Availability ≥ 99.9%, maximum response time for critical incidents ≤ 15 minutes, support resolution SLA for P1 incidents ≤ 4 hours, performance benchmarks with quarterly review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 &amp; Inspection Rights:</w:t>
      </w:r>
      <w:r>
        <w:rPr>
          <w:rFonts w:ascii="Calibri" w:cs="Calibri" w:eastAsia="Calibri" w:hAnsi="Calibri"/>
          <w:b w:val="false"/>
          <w:bCs w:val="false"/>
          <w:i w:val="false"/>
          <w:iCs w:val="false"/>
          <w:strike w:val="false"/>
          <w:color w:val="000000"/>
          <w:sz w:val="22"/>
          <w:szCs w:val="22"/>
        </w:rPr>
        <w:t xml:space="preserve"> Unrestricted right of the financial entity (and its competent authority) to audit and inspect the provider, including on-site access with reasonable notice (minimum 30 days for scheduled audits, immediate for cause).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Exit Strategy &amp; Data Portability:</w:t>
      </w:r>
      <w:r>
        <w:rPr>
          <w:rFonts w:ascii="Calibri" w:cs="Calibri" w:eastAsia="Calibri" w:hAnsi="Calibri"/>
          <w:b w:val="false"/>
          <w:bCs w:val="false"/>
          <w:i w:val="false"/>
          <w:iCs w:val="false"/>
          <w:strike w:val="false"/>
          <w:color w:val="000000"/>
          <w:sz w:val="22"/>
          <w:szCs w:val="22"/>
        </w:rPr>
        <w:t xml:space="preserve"> Mandatory transition period (minimum 12 months for critical services), data export in open formats, deletion certification upon completion, knowledge transfer support.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Subcontracting Notification &amp; Approval:</w:t>
      </w:r>
      <w:r>
        <w:rPr>
          <w:rFonts w:ascii="Calibri" w:cs="Calibri" w:eastAsia="Calibri" w:hAnsi="Calibri"/>
          <w:b w:val="false"/>
          <w:bCs w:val="false"/>
          <w:i w:val="false"/>
          <w:iCs w:val="false"/>
          <w:strike w:val="false"/>
          <w:color w:val="000000"/>
          <w:sz w:val="22"/>
          <w:szCs w:val="22"/>
        </w:rPr>
        <w:t xml:space="preserve"> Prior written notification of any intended subcontracting (minimum 60 days). Right to object to or reject subcontracting arrangements. Flow-down of contractual obligations to subcontractors.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Security Incident Notification:</w:t>
      </w:r>
      <w:r>
        <w:rPr>
          <w:rFonts w:ascii="Calibri" w:cs="Calibri" w:eastAsia="Calibri" w:hAnsi="Calibri"/>
          <w:b w:val="false"/>
          <w:bCs w:val="false"/>
          <w:i w:val="false"/>
          <w:iCs w:val="false"/>
          <w:strike w:val="false"/>
          <w:color w:val="000000"/>
          <w:sz w:val="22"/>
          <w:szCs w:val="22"/>
        </w:rPr>
        <w:t xml:space="preserve"> Provider must notify the financial entity of any ICT-related incident impacting the services within 24 hours of detection, with initial root cause analysis within 72 hours and full post-incident report within 30 days.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Business Continuity &amp; Disaster Recovery Provisions:</w:t>
      </w:r>
      <w:r>
        <w:rPr>
          <w:rFonts w:ascii="Calibri" w:cs="Calibri" w:eastAsia="Calibri" w:hAnsi="Calibri"/>
          <w:b w:val="false"/>
          <w:bCs w:val="false"/>
          <w:i w:val="false"/>
          <w:iCs w:val="false"/>
          <w:strike w:val="false"/>
          <w:color w:val="000000"/>
          <w:sz w:val="22"/>
          <w:szCs w:val="22"/>
        </w:rPr>
        <w:t xml:space="preserve"> Provider must maintain and annually test BCP/DR plans. Test results must be shared with the financial entity. RPO and RTO targets must be contractually bound and validated.</w:t>
      </w:r>
    </w:p>
    <w:p>
      <w:pPr>
        <w:pStyle w:val="Heading2"/>
        <w:spacing w:after="120" w:before="360" w:line="312" w:lineRule="auto"/>
      </w:pPr>
      <w:r>
        <w:rPr>
          <w:rFonts w:ascii="Calibri" w:cs="Calibri" w:eastAsia="Calibri" w:hAnsi="Calibri"/>
          <w:color w:val="0F1B2D"/>
          <w:sz w:val="36"/>
          <w:szCs w:val="36"/>
        </w:rPr>
        <w:t xml:space="preserve">1.4 ICT Concentration Risk Assessment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Concentration risk assessment per </w:t>
      </w:r>
      <w:r>
        <w:rPr>
          <w:rFonts w:ascii="Calibri" w:cs="Calibri" w:eastAsia="Calibri" w:hAnsi="Calibri"/>
          <w:b w:val="false"/>
          <w:bCs w:val="false"/>
          <w:i/>
          <w:iCs/>
          <w:strike w:val="false"/>
          <w:color w:val="000000"/>
          <w:sz w:val="22"/>
          <w:szCs w:val="22"/>
        </w:rPr>
        <w:t xml:space="preserve">DORA Article 29</w:t>
      </w:r>
      <w:r>
        <w:rPr>
          <w:rFonts w:ascii="Calibri" w:cs="Calibri" w:eastAsia="Calibri" w:hAnsi="Calibri"/>
          <w:b w:val="false"/>
          <w:bCs w:val="false"/>
          <w:i w:val="false"/>
          <w:iCs w:val="false"/>
          <w:strike w:val="false"/>
          <w:color w:val="000000"/>
          <w:sz w:val="22"/>
          <w:szCs w:val="22"/>
        </w:rPr>
        <w:t xml:space="preserve"> evaluates the degree to which a financial entity's critical operations depend on a limited number of ICT third-party providers. The methodology encompasses four dimensions: dependency mapping, single-vendor exposure, geographic concentration, and substitutability scoring.</w:t>
      </w:r>
    </w:p>
    <w:p>
      <w:pPr>
        <w:pStyle w:val="Heading3"/>
        <w:spacing w:after="120" w:before="240" w:line="312" w:lineRule="auto"/>
      </w:pPr>
      <w:r>
        <w:rPr>
          <w:rFonts w:ascii="Calibri" w:cs="Calibri" w:eastAsia="Calibri" w:hAnsi="Calibri"/>
          <w:color w:val="1A2A44"/>
          <w:sz w:val="28"/>
          <w:szCs w:val="28"/>
        </w:rPr>
        <w:t xml:space="preserve">Concentration Risk Heat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Provider</w:t>
            </w:r>
          </w:p>
        </w:tc>
        <w:tc>
          <w:tcPr>
            <w:tcW w:type="pct" w:w="2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Services Provided</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Critical Functions Supported</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Dependency Score (1–5)</w:t>
            </w:r>
          </w:p>
        </w:tc>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Geographic Concentration</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Substitutability (1–5)</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Overall Risk Score</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Risk Level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CloudVault EU</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IaaS — core banking, data warehouse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of 8 critical functions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Frankfurt, Dublin (EU-only)</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NexGen SecOps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Managed SIEM, SOC-as-a-Service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of 8 critical functions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Amsterdam, Warsaw (EU-only)</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Medium-High</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DataStream GmbH</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integration, ETL pipelines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of 8 critical functions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Munich (single site)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CyberShield Nordic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Penetration testing, vulnerability scanning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(supporting function)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Stockholm, Helsinki</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Low</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TrustNet Systems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PKI management, certificate authority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of 8 critical functions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Paris, Zurich</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Key Finding:</w:t>
      </w:r>
      <w:r>
        <w:rPr>
          <w:rFonts w:ascii="Calibri" w:cs="Calibri" w:eastAsia="Calibri" w:hAnsi="Calibri"/>
          <w:b w:val="false"/>
          <w:bCs w:val="false"/>
          <w:i w:val="false"/>
          <w:iCs w:val="false"/>
          <w:strike w:val="false"/>
          <w:color w:val="000000"/>
          <w:sz w:val="22"/>
          <w:szCs w:val="22"/>
        </w:rPr>
        <w:t xml:space="preserve"> CloudVault EU presents the highest concentration risk due to its support of three critical functions with limited substitutability. Mitigation recommendation: Activate multi-cloud strategy per </w:t>
      </w:r>
      <w:r>
        <w:rPr>
          <w:rFonts w:ascii="Calibri" w:cs="Calibri" w:eastAsia="Calibri" w:hAnsi="Calibri"/>
          <w:b w:val="false"/>
          <w:bCs w:val="false"/>
          <w:i/>
          <w:iCs/>
          <w:strike w:val="false"/>
          <w:color w:val="000000"/>
          <w:sz w:val="22"/>
          <w:szCs w:val="22"/>
        </w:rPr>
        <w:t xml:space="preserve">Article 6(9)</w:t>
      </w:r>
      <w:r>
        <w:rPr>
          <w:rFonts w:ascii="Calibri" w:cs="Calibri" w:eastAsia="Calibri" w:hAnsi="Calibri"/>
          <w:b w:val="false"/>
          <w:bCs w:val="false"/>
          <w:i w:val="false"/>
          <w:iCs w:val="false"/>
          <w:strike w:val="false"/>
          <w:color w:val="000000"/>
          <w:sz w:val="22"/>
          <w:szCs w:val="22"/>
        </w:rPr>
        <w:t xml:space="preserve">, establish secondary IaaS provider for core banking failover, and negotiate enhanced exit provisions.</w:t>
      </w:r>
    </w:p>
    <w:p>
      <w:pPr>
        <w:pStyle w:val="Heading2"/>
        <w:spacing w:after="120" w:before="360" w:line="312" w:lineRule="auto"/>
      </w:pPr>
      <w:r>
        <w:rPr>
          <w:rFonts w:ascii="Calibri" w:cs="Calibri" w:eastAsia="Calibri" w:hAnsi="Calibri"/>
          <w:color w:val="0F1B2D"/>
          <w:sz w:val="36"/>
          <w:szCs w:val="36"/>
        </w:rPr>
        <w:t xml:space="preserve">1.5 Audit Protocol &amp; Evidence Collection</w:t>
      </w:r>
    </w:p>
    <w:p>
      <w:pPr>
        <w:pStyle w:val="Heading3"/>
        <w:spacing w:after="120" w:before="240" w:line="312" w:lineRule="auto"/>
      </w:pPr>
      <w:r>
        <w:rPr>
          <w:rFonts w:ascii="Calibri" w:cs="Calibri" w:eastAsia="Calibri" w:hAnsi="Calibri"/>
          <w:color w:val="1A2A44"/>
          <w:sz w:val="28"/>
          <w:szCs w:val="28"/>
        </w:rPr>
        <w:t xml:space="preserve">20-Point Audit Checklist (DORA Article 28 Alignment)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w:t>
            </w:r>
          </w:p>
        </w:tc>
        <w:tc>
          <w:tcPr>
            <w:tcW w:type="pct" w:w="4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Audit Point</w:t>
            </w:r>
          </w:p>
        </w:tc>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DORA Reference</w:t>
            </w:r>
          </w:p>
        </w:tc>
        <w:tc>
          <w:tcPr>
            <w:tcW w:type="pct" w:w="3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Evidence Required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policy approved by management body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28(2)</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Board minutes, signed policy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Register of information maintained and current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28(3)</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Register extract, last update 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function classification applied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28(1)(a)</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records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Pre-engagement due diligence completed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28(4)</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Due diligence reports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Contractual clauses comply with RTS requirements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review records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metrics defined and measurable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30(2)(a)</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documentation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&amp; inspection rights contractually secured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30(2)(e)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clauses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strategy documented and tested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28(8)</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plan, test results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Subcontracting arrangements disclosed &amp; approved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29(2)</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Notification records, approvals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incident notification ≤ 24 hours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30(2)(g)</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notification logs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BCP/DR provisions contractually bound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30(2)(d)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 test results, contract clauses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assessed and documented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29</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report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Multi-vendor strategy reviewed annually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6(9)</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Strategy document, review minutes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location and jurisdictional compliance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28(1)(b)</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residency attestation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Provider financial viability assessed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28(4)</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Financial analysis report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reporting to competent authority completed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28(3)</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Submission confirmation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17</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personnel qualifications verified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28(5)</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Qualification records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Encryption standards validated (at rest/in transit)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9(2)</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architecture review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monitoring dashboard operational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28(6)</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Dashboard screenshots, alert configs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Remediation tracking for prior audit findings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28(2)</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Finding tracker, closure evidence</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Evidence Collection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Document Type</w:t>
            </w:r>
          </w:p>
        </w:tc>
        <w:tc>
          <w:tcPr>
            <w:tcW w:type="pct" w:w="2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Source</w:t>
            </w:r>
          </w:p>
        </w:tc>
        <w:tc>
          <w:tcPr>
            <w:tcW w:type="pct" w:w="2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Collection Frequency</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Retention Period</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risk assessment reports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(critical) / Biennial (standard)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Contractual agreements &amp; amendments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Legal / Procurement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 execution &amp; amendment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Duration + 5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performance reports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 Operations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reports &amp; findings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Audit / External Auditors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audit cycle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notification records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 SOC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incident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BCP/DR test results (provider)</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assessments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years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Register of information updates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years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Sample Audit Log Entries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Audit ID</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Date</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Provider</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Scope</w:t>
            </w:r>
          </w:p>
        </w:tc>
        <w:tc>
          <w:tcPr>
            <w:tcW w:type="pct" w:w="2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Finding</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Severity</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Remediation Due</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TPR-2026-001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2026-01-15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CloudVault EU</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compliance review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Availability SLA metric not formally defined for backup replication service; no measurable threshold documented</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TPR-2026-002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2026-02-03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DataStream GmbH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strategy validation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plan references data export format (proprietary XML) with no open-format alternative; portability risk identified</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2026-04-30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Progress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TPR-2026-003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2026-02-20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NexGen SecOps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Subcontracting review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Undisclosed subcontracting of log storage to a non-EU entity (US-based AWS region) without prior notification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2026-03-20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Remediated</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TPR-2026-004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TrustNet Systems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BCP/DR evidence review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 test results for Q4 2025 not provided within 30-day contractual window; no evidence of annual DR test execution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TPR-2026-005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2026-03-25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CyberShield Nordic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Certification review</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 27001 certificate scope does not cover the vulnerability scanning service module utilized by the entity</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Minor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2026-06-25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1.6 Case Study: Third-Party Audit of a Cloud Infrastructure Provider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A44" w:sz="6"/>
              <w:left w:val="single" w:color="1A2A44" w:sz="6"/>
              <w:bottom w:val="single" w:color="1A2A44" w:sz="6"/>
              <w:right w:val="single" w:color="1A2A44"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1B2D"/>
                <w:sz w:val="22"/>
                <w:szCs w:val="22"/>
              </w:rPr>
              <w:t xml:space="preserve">Case Study Context</w:t>
            </w:r>
          </w:p>
          <w:p>
            <w:pPr>
              <w:spacing w:after="120" w:line="360" w:lineRule="auto"/>
            </w:pPr>
            <w:r>
              <w:rPr>
                <w:rFonts w:ascii="Calibri" w:cs="Calibri" w:eastAsia="Calibri" w:hAnsi="Calibri"/>
                <w:b/>
                <w:bCs/>
                <w:i w:val="false"/>
                <w:iCs w:val="false"/>
                <w:strike w:val="false"/>
                <w:color w:val="000000"/>
                <w:sz w:val="22"/>
                <w:szCs w:val="22"/>
              </w:rPr>
              <w:t xml:space="preserve">Entity:</w:t>
            </w:r>
            <w:r>
              <w:rPr>
                <w:rFonts w:ascii="Calibri" w:cs="Calibri" w:eastAsia="Calibri" w:hAnsi="Calibri"/>
                <w:b w:val="false"/>
                <w:bCs w:val="false"/>
                <w:i w:val="false"/>
                <w:iCs w:val="false"/>
                <w:strike w:val="false"/>
                <w:color w:val="000000"/>
                <w:sz w:val="22"/>
                <w:szCs w:val="22"/>
              </w:rPr>
              <w:t xml:space="preserve"> EuroFinance Bank (fictional) — Mid-tier European bank, DORA-regulated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Provider:</w:t>
            </w:r>
            <w:r>
              <w:rPr>
                <w:rFonts w:ascii="Calibri" w:cs="Calibri" w:eastAsia="Calibri" w:hAnsi="Calibri"/>
                <w:b w:val="false"/>
                <w:bCs w:val="false"/>
                <w:i w:val="false"/>
                <w:iCs w:val="false"/>
                <w:strike w:val="false"/>
                <w:color w:val="000000"/>
                <w:sz w:val="22"/>
                <w:szCs w:val="22"/>
              </w:rPr>
              <w:t xml:space="preserve"> CloudVault EU (fictional) — IaaS provider for core banking systems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Comprehensive Article 28 audit of cloud infrastructure arrangement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Period:</w:t>
            </w:r>
            <w:r>
              <w:rPr>
                <w:rFonts w:ascii="Calibri" w:cs="Calibri" w:eastAsia="Calibri" w:hAnsi="Calibri"/>
                <w:b w:val="false"/>
                <w:bCs w:val="false"/>
                <w:i w:val="false"/>
                <w:iCs w:val="false"/>
                <w:strike w:val="false"/>
                <w:color w:val="000000"/>
                <w:sz w:val="22"/>
                <w:szCs w:val="22"/>
              </w:rPr>
              <w:t xml:space="preserve"> January – March 2026</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Background:</w:t>
      </w:r>
      <w:r>
        <w:rPr>
          <w:rFonts w:ascii="Calibri" w:cs="Calibri" w:eastAsia="Calibri" w:hAnsi="Calibri"/>
          <w:b w:val="false"/>
          <w:bCs w:val="false"/>
          <w:i w:val="false"/>
          <w:iCs w:val="false"/>
          <w:strike w:val="false"/>
          <w:color w:val="000000"/>
          <w:sz w:val="22"/>
          <w:szCs w:val="22"/>
        </w:rPr>
        <w:t xml:space="preserve"> EuroFinance Bank relies on CloudVault EU for Infrastructure-as-a-Service supporting its core banking platform, including transaction processing, customer data storage, and regulatory reporting infrastructure. The arrangement has been classified as supporting a </w:t>
      </w:r>
      <w:r>
        <w:rPr>
          <w:rFonts w:ascii="Calibri" w:cs="Calibri" w:eastAsia="Calibri" w:hAnsi="Calibri"/>
          <w:b w:val="false"/>
          <w:bCs w:val="false"/>
          <w:i/>
          <w:iCs/>
          <w:strike w:val="false"/>
          <w:color w:val="000000"/>
          <w:sz w:val="22"/>
          <w:szCs w:val="22"/>
        </w:rPr>
        <w:t xml:space="preserve">critical or important function</w:t>
      </w:r>
      <w:r>
        <w:rPr>
          <w:rFonts w:ascii="Calibri" w:cs="Calibri" w:eastAsia="Calibri" w:hAnsi="Calibri"/>
          <w:b w:val="false"/>
          <w:bCs w:val="false"/>
          <w:i w:val="false"/>
          <w:iCs w:val="false"/>
          <w:strike w:val="false"/>
          <w:color w:val="000000"/>
          <w:sz w:val="22"/>
          <w:szCs w:val="22"/>
        </w:rPr>
        <w:t xml:space="preserve"> under DORA. As part of its annual ICT third-party risk audit cycle, EuroFinance engaged its internal audit function — led by the resilience architecture methodology detailed in this playbook — to conduct a full Article 28 compliance audit.</w:t>
      </w:r>
    </w:p>
    <w:p>
      <w:pPr>
        <w:pStyle w:val="Heading3"/>
        <w:spacing w:after="120" w:before="240" w:line="312" w:lineRule="auto"/>
      </w:pPr>
      <w:r>
        <w:rPr>
          <w:rFonts w:ascii="Calibri" w:cs="Calibri" w:eastAsia="Calibri" w:hAnsi="Calibri"/>
          <w:color w:val="1A2A44"/>
          <w:sz w:val="28"/>
          <w:szCs w:val="28"/>
        </w:rPr>
        <w:t xml:space="preserve">Critical Findings</w:t>
      </w:r>
    </w:p>
    <w:p>
      <w:pPr>
        <w:spacing w:after="120" w:before="60" w:line="360" w:lineRule="auto"/>
      </w:pPr>
      <w:r>
        <w:rPr>
          <w:rFonts w:ascii="Calibri" w:cs="Calibri" w:eastAsia="Calibri" w:hAnsi="Calibri"/>
          <w:b/>
          <w:bCs/>
          <w:i w:val="false"/>
          <w:iCs w:val="false"/>
          <w:strike w:val="false"/>
          <w:color w:val="000000"/>
          <w:sz w:val="22"/>
          <w:szCs w:val="22"/>
        </w:rPr>
        <w:t xml:space="preserve">Finding 1 — Data Residency Violation (Critical):</w:t>
      </w:r>
      <w:r>
        <w:rPr>
          <w:rFonts w:ascii="Calibri" w:cs="Calibri" w:eastAsia="Calibri" w:hAnsi="Calibri"/>
          <w:b w:val="false"/>
          <w:bCs w:val="false"/>
          <w:i w:val="false"/>
          <w:iCs w:val="false"/>
          <w:strike w:val="false"/>
          <w:color w:val="000000"/>
          <w:sz w:val="22"/>
          <w:szCs w:val="22"/>
        </w:rPr>
        <w:t xml:space="preserve"> During on-site inspection of CloudVault EU's Frankfurt data center, audit evidence revealed that database replication traffic was being routed through a disaster recovery node in Zürich, Switzerland. While Switzerland maintains an EU adequacy decision, the contractual arrangement explicitly specified "EU Member State data centers only." The replication path had been introduced as part of a capacity upgrade in Q3 2025 without contractual amendment or notification to EuroFinance Bank.</w:t>
      </w:r>
    </w:p>
    <w:p>
      <w:pPr>
        <w:spacing w:after="120" w:before="60" w:line="360" w:lineRule="auto"/>
      </w:pPr>
      <w:r>
        <w:rPr>
          <w:rFonts w:ascii="Calibri" w:cs="Calibri" w:eastAsia="Calibri" w:hAnsi="Calibri"/>
          <w:b/>
          <w:bCs/>
          <w:i w:val="false"/>
          <w:iCs w:val="false"/>
          <w:strike w:val="false"/>
          <w:color w:val="000000"/>
          <w:sz w:val="22"/>
          <w:szCs w:val="22"/>
        </w:rPr>
        <w:t xml:space="preserve">Finding 2 — Missing Disaster Recovery Test Evidence (Major):</w:t>
      </w:r>
      <w:r>
        <w:rPr>
          <w:rFonts w:ascii="Calibri" w:cs="Calibri" w:eastAsia="Calibri" w:hAnsi="Calibri"/>
          <w:b w:val="false"/>
          <w:bCs w:val="false"/>
          <w:i w:val="false"/>
          <w:iCs w:val="false"/>
          <w:strike w:val="false"/>
          <w:color w:val="000000"/>
          <w:sz w:val="22"/>
          <w:szCs w:val="22"/>
        </w:rPr>
        <w:t xml:space="preserve"> CloudVault EU's contract requires annual DR testing with results shared within 30 days. The audit team requested DR test results for the core banking environment for the period July 2025 – December 2025. CloudVault EU was unable to produce evidence that a DR failover test had been executed for the specific tenant environment, though general platform-level DR tests were documented. Tenant-specific testing had been deferred due to "scheduling constraints."</w:t>
      </w:r>
    </w:p>
    <w:p>
      <w:pPr>
        <w:spacing w:after="120" w:before="60" w:line="360" w:lineRule="auto"/>
      </w:pPr>
      <w:r>
        <w:rPr>
          <w:rFonts w:ascii="Calibri" w:cs="Calibri" w:eastAsia="Calibri" w:hAnsi="Calibri"/>
          <w:b/>
          <w:bCs/>
          <w:i w:val="false"/>
          <w:iCs w:val="false"/>
          <w:strike w:val="false"/>
          <w:color w:val="000000"/>
          <w:sz w:val="22"/>
          <w:szCs w:val="22"/>
        </w:rPr>
        <w:t xml:space="preserve">Finding 3 — Unauthorized Subcontracting to Non-EU Entity (Critical):</w:t>
      </w:r>
      <w:r>
        <w:rPr>
          <w:rFonts w:ascii="Calibri" w:cs="Calibri" w:eastAsia="Calibri" w:hAnsi="Calibri"/>
          <w:b w:val="false"/>
          <w:bCs w:val="false"/>
          <w:i w:val="false"/>
          <w:iCs w:val="false"/>
          <w:strike w:val="false"/>
          <w:color w:val="000000"/>
          <w:sz w:val="22"/>
          <w:szCs w:val="22"/>
        </w:rPr>
        <w:t xml:space="preserve"> Review of network architecture documentation revealed that CloudVault EU had engaged a US-based content delivery network (CDN) provider for edge caching of API responses. This subcontracting arrangement had not been disclosed per the 60-day prior notification requirement in the contract, and the CDN provider's terms of service included data processing rights that conflicted with the data residency provisions.</w:t>
      </w:r>
    </w:p>
    <w:p>
      <w:pPr>
        <w:pStyle w:val="Heading3"/>
        <w:spacing w:after="120" w:before="240" w:line="312" w:lineRule="auto"/>
      </w:pPr>
      <w:r>
        <w:rPr>
          <w:rFonts w:ascii="Calibri" w:cs="Calibri" w:eastAsia="Calibri" w:hAnsi="Calibri"/>
          <w:color w:val="1A2A44"/>
          <w:sz w:val="28"/>
          <w:szCs w:val="28"/>
        </w:rPr>
        <w:t xml:space="preserve">Resolution Narrative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Following formal issuance of the audit report, a remediation timeline was established: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30 days (by 2026-02-28):</w:t>
      </w:r>
      <w:r>
        <w:rPr>
          <w:rFonts w:ascii="Calibri" w:cs="Calibri" w:eastAsia="Calibri" w:hAnsi="Calibri"/>
          <w:b w:val="false"/>
          <w:bCs w:val="false"/>
          <w:i w:val="false"/>
          <w:iCs w:val="false"/>
          <w:strike w:val="false"/>
          <w:color w:val="000000"/>
          <w:sz w:val="22"/>
          <w:szCs w:val="22"/>
        </w:rPr>
        <w:t xml:space="preserve"> CloudVault EU terminated the CDN subcontracting arrangement and rerouted all API traffic through EU-only infrastructure. Contractual amendment executed to explicitly prohibit non-disclosed subcontracting with automatic termination clause for repeat violations.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60 days (by 2026-03-31):</w:t>
      </w:r>
      <w:r>
        <w:rPr>
          <w:rFonts w:ascii="Calibri" w:cs="Calibri" w:eastAsia="Calibri" w:hAnsi="Calibri"/>
          <w:b w:val="false"/>
          <w:bCs w:val="false"/>
          <w:i w:val="false"/>
          <w:iCs w:val="false"/>
          <w:strike w:val="false"/>
          <w:color w:val="000000"/>
          <w:sz w:val="22"/>
          <w:szCs w:val="22"/>
        </w:rPr>
        <w:t xml:space="preserve"> Data replication path reconfigured to eliminate the Zürich node. All replication confirmed to operate exclusively within EU Member State data centers (Frankfurt primary, Dublin secondary). Configuration audit evidence provided.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90 days (by 2026-04-30):</w:t>
      </w:r>
      <w:r>
        <w:rPr>
          <w:rFonts w:ascii="Calibri" w:cs="Calibri" w:eastAsia="Calibri" w:hAnsi="Calibri"/>
          <w:b w:val="false"/>
          <w:bCs w:val="false"/>
          <w:i w:val="false"/>
          <w:iCs w:val="false"/>
          <w:strike w:val="false"/>
          <w:color w:val="000000"/>
          <w:sz w:val="22"/>
          <w:szCs w:val="22"/>
        </w:rPr>
        <w:t xml:space="preserve"> Tenant-specific DR failover test executed successfully with RTO of 47 minutes (target: 60 minutes) and RPO of 12 minutes (target: 15 minutes). Full test report with log evidence provided to EuroFinance Bank.</w:t>
      </w:r>
    </w:p>
    <w:p>
      <w:pPr>
        <w:pStyle w:val="Heading3"/>
        <w:spacing w:after="120" w:before="240" w:line="312" w:lineRule="auto"/>
      </w:pPr>
      <w:r>
        <w:rPr>
          <w:rFonts w:ascii="Calibri" w:cs="Calibri" w:eastAsia="Calibri" w:hAnsi="Calibri"/>
          <w:color w:val="1A2A44"/>
          <w:sz w:val="28"/>
          <w:szCs w:val="28"/>
        </w:rPr>
        <w:t xml:space="preserve">Attribution Narrative — Ssambra's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A44"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When I designed the audit protocol for the CloudVault EU engagement, I deliberately structured the evidence collection process to go beyond document review. Contractual compliance on paper tells you what should be happening; technical validation tells you what is actually happening. The data residency finding is a perfect example — the contract was compliant, the attestations were signed, but the actual network topology told a different story. I requested packet capture samples from the replication channel and traced the routing path, which revealed the Zürich node that had been added during a capacity expansion no one flagged for contractual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subcontracting finding came from a routine DNS analysis I include in all infrastructure audits. When I saw CDN CNAME records pointing to a non-EU provider, I knew immediately we had a contractual breach. The lesson here is that audit protocols must include technical verification layers — you cannot rely solely on vendor self-attestation when critical functions are at stake.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case reinforced my conviction that effective third-party risk management under DORA requires a blend of regulatory knowledge, technical depth, and investigative persistence. The governance framework exists to structure the work, but it is the auditor's judgment and methodology that surface the findings that matter.</w:t>
            </w:r>
          </w:p>
          <w:p>
            <w:pPr>
              <w:spacing w:after="120" w:line="360" w:lineRule="auto"/>
              <w:jc w:val="right"/>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Ssambra</w:t>
            </w:r>
            <w:r>
              <w:rPr>
                <w:rFonts w:ascii="Calibri" w:cs="Calibri" w:eastAsia="Calibri" w:hAnsi="Calibri"/>
                <w:b w:val="false"/>
                <w:bCs w:val="false"/>
                <w:i w:val="false"/>
                <w:iCs w:val="false"/>
                <w:strike w:val="false"/>
                <w:color w:val="000000"/>
                <w:sz w:val="22"/>
                <w:szCs w:val="22"/>
              </w:rPr>
              <w:t xml:space="preserve">, Identity Auditor &amp; Threat Sentinel</w:t>
            </w:r>
          </w:p>
        </w:tc>
      </w:tr>
    </w:tbl>
    <w:p>
      <w:pPr>
        <w:spacing w:after="24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Master Playbook 2: ENISA Risk Assessment &amp; NIS2 Compliance Framework</w:t>
      </w:r>
    </w:p>
    <w:p>
      <w:pPr>
        <w:pStyle w:val="Heading2"/>
        <w:spacing w:after="120" w:before="360" w:line="312" w:lineRule="auto"/>
      </w:pPr>
      <w:r>
        <w:rPr>
          <w:rFonts w:ascii="Calibri" w:cs="Calibri" w:eastAsia="Calibri" w:hAnsi="Calibri"/>
          <w:color w:val="0F1B2D"/>
          <w:sz w:val="36"/>
          <w:szCs w:val="36"/>
        </w:rPr>
        <w:t xml:space="preserve">2.1 ENISA Risk Methodology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European Union Agency for Cybersecurity (</w:t>
      </w:r>
      <w:r>
        <w:rPr>
          <w:rFonts w:ascii="Calibri" w:cs="Calibri" w:eastAsia="Calibri" w:hAnsi="Calibri"/>
          <w:b/>
          <w:bCs/>
          <w:i w:val="false"/>
          <w:iCs w:val="false"/>
          <w:strike w:val="false"/>
          <w:color w:val="000000"/>
          <w:sz w:val="22"/>
          <w:szCs w:val="22"/>
        </w:rPr>
        <w:t xml:space="preserve">ENISA</w:t>
      </w:r>
      <w:r>
        <w:rPr>
          <w:rFonts w:ascii="Calibri" w:cs="Calibri" w:eastAsia="Calibri" w:hAnsi="Calibri"/>
          <w:b w:val="false"/>
          <w:bCs w:val="false"/>
          <w:i w:val="false"/>
          <w:iCs w:val="false"/>
          <w:strike w:val="false"/>
          <w:color w:val="000000"/>
          <w:sz w:val="22"/>
          <w:szCs w:val="22"/>
        </w:rPr>
        <w:t xml:space="preserve">) provides the methodological backbone for risk assessment under the </w:t>
      </w:r>
      <w:r>
        <w:rPr>
          <w:rFonts w:ascii="Calibri" w:cs="Calibri" w:eastAsia="Calibri" w:hAnsi="Calibri"/>
          <w:b/>
          <w:bCs/>
          <w:i w:val="false"/>
          <w:iCs w:val="false"/>
          <w:strike w:val="false"/>
          <w:color w:val="000000"/>
          <w:sz w:val="22"/>
          <w:szCs w:val="22"/>
        </w:rPr>
        <w:t xml:space="preserve">NIS2 Directive</w:t>
      </w:r>
      <w:r>
        <w:rPr>
          <w:rFonts w:ascii="Calibri" w:cs="Calibri" w:eastAsia="Calibri" w:hAnsi="Calibri"/>
          <w:b w:val="false"/>
          <w:bCs w:val="false"/>
          <w:i w:val="false"/>
          <w:iCs w:val="false"/>
          <w:strike w:val="false"/>
          <w:color w:val="000000"/>
          <w:sz w:val="22"/>
          <w:szCs w:val="22"/>
        </w:rPr>
        <w:t xml:space="preserve"> and its </w:t>
      </w:r>
      <w:r>
        <w:rPr>
          <w:rFonts w:ascii="Calibri" w:cs="Calibri" w:eastAsia="Calibri" w:hAnsi="Calibri"/>
          <w:b/>
          <w:bCs/>
          <w:i w:val="false"/>
          <w:iCs w:val="false"/>
          <w:strike w:val="false"/>
          <w:color w:val="000000"/>
          <w:sz w:val="22"/>
          <w:szCs w:val="22"/>
        </w:rPr>
        <w:t xml:space="preserve">Implementing Regulation (EU) 2024/2690</w:t>
      </w:r>
      <w:r>
        <w:rPr>
          <w:rFonts w:ascii="Calibri" w:cs="Calibri" w:eastAsia="Calibri" w:hAnsi="Calibri"/>
          <w:b w:val="false"/>
          <w:bCs w:val="false"/>
          <w:i w:val="false"/>
          <w:iCs w:val="false"/>
          <w:strike w:val="false"/>
          <w:color w:val="000000"/>
          <w:sz w:val="22"/>
          <w:szCs w:val="22"/>
        </w:rPr>
        <w:t xml:space="preserve">. This playbook operationalizes ENISA's approach through a structured framework aligned to international standards including </w:t>
      </w:r>
      <w:r>
        <w:rPr>
          <w:rFonts w:ascii="Calibri" w:cs="Calibri" w:eastAsia="Calibri" w:hAnsi="Calibri"/>
          <w:b w:val="false"/>
          <w:bCs w:val="false"/>
          <w:i/>
          <w:iCs/>
          <w:strike w:val="false"/>
          <w:color w:val="000000"/>
          <w:sz w:val="22"/>
          <w:szCs w:val="22"/>
        </w:rPr>
        <w:t xml:space="preserve">ISO 27005:2022</w:t>
      </w:r>
      <w:r>
        <w:rPr>
          <w:rFonts w:ascii="Calibri" w:cs="Calibri" w:eastAsia="Calibri" w:hAnsi="Calibri"/>
          <w:b w:val="false"/>
          <w:bCs w:val="false"/>
          <w:i w:val="false"/>
          <w:iCs w:val="false"/>
          <w:strike w:val="false"/>
          <w:color w:val="000000"/>
          <w:sz w:val="22"/>
          <w:szCs w:val="22"/>
        </w:rPr>
        <w:t xml:space="preserve"> (Information Security Risk Management) and </w:t>
      </w:r>
      <w:r>
        <w:rPr>
          <w:rFonts w:ascii="Calibri" w:cs="Calibri" w:eastAsia="Calibri" w:hAnsi="Calibri"/>
          <w:b w:val="false"/>
          <w:bCs w:val="false"/>
          <w:i/>
          <w:iCs/>
          <w:strike w:val="false"/>
          <w:color w:val="000000"/>
          <w:sz w:val="22"/>
          <w:szCs w:val="22"/>
        </w:rPr>
        <w:t xml:space="preserve">ISO 31000:2018</w:t>
      </w:r>
      <w:r>
        <w:rPr>
          <w:rFonts w:ascii="Calibri" w:cs="Calibri" w:eastAsia="Calibri" w:hAnsi="Calibri"/>
          <w:b w:val="false"/>
          <w:bCs w:val="false"/>
          <w:i w:val="false"/>
          <w:iCs w:val="false"/>
          <w:strike w:val="false"/>
          <w:color w:val="000000"/>
          <w:sz w:val="22"/>
          <w:szCs w:val="22"/>
        </w:rPr>
        <w:t xml:space="preserve"> (Risk Management — Guidelines).</w:t>
      </w:r>
    </w:p>
    <w:p>
      <w:pPr>
        <w:pStyle w:val="Heading3"/>
        <w:spacing w:after="120" w:before="240" w:line="312" w:lineRule="auto"/>
      </w:pPr>
      <w:r>
        <w:rPr>
          <w:rFonts w:ascii="Calibri" w:cs="Calibri" w:eastAsia="Calibri" w:hAnsi="Calibri"/>
          <w:color w:val="1A2A44"/>
          <w:sz w:val="28"/>
          <w:szCs w:val="28"/>
        </w:rPr>
        <w:t xml:space="preserve">ENISA 13 Key Domains for NIS2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Domain #</w:t>
            </w:r>
          </w:p>
        </w:tc>
        <w:tc>
          <w:tcPr>
            <w:tcW w:type="pct" w:w="3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Domain Name</w:t>
            </w:r>
          </w:p>
        </w:tc>
        <w:tc>
          <w:tcPr>
            <w:tcW w:type="pct" w:w="5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Scope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Policy on Security of Network and Information Systems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Overarching security governance, strategy, and policy framework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Management Policy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identification, analysis, evaluation, and treatment processes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Handling</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 reporting, response, and recovery from cybersecurity incidents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&amp; Crisis Management</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BCM planning, DR, crisis communication, and operational continuity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Security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supply chain risk management, vendor assessment, procurement security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in Acquisition, Development &amp; Maintenance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Secure SDLC, vulnerability management, change management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Effectiveness Assessment</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Testing, auditing, KPI measurement, and continuous improvement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Cyber Hygiene &amp; Training</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awareness, role-based training, phishing simulation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Encryption policies, key management, certificate lifecycle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 Resources Security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Personnel screening, onboarding/offboarding, role-based access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Control</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Authentication, authorization, privileged access management, MFA</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Management</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inventory, classification, lifecycle management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Environmental &amp; Physical Security</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Facility protection, environmental controls, physical access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Risk Assessment 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ENISA-aligned risk assessment follows a five-phase 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Context Establishment:</w:t>
      </w:r>
      <w:r>
        <w:rPr>
          <w:rFonts w:ascii="Calibri" w:cs="Calibri" w:eastAsia="Calibri" w:hAnsi="Calibri"/>
          <w:b w:val="false"/>
          <w:bCs w:val="false"/>
          <w:i w:val="false"/>
          <w:iCs w:val="false"/>
          <w:strike w:val="false"/>
          <w:color w:val="000000"/>
          <w:sz w:val="22"/>
          <w:szCs w:val="22"/>
        </w:rPr>
        <w:t xml:space="preserve"> Define organizational scope, risk appetite, assessment criteria, and stakeholder requirements. Map critical assets and business processes.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Identification:</w:t>
      </w:r>
      <w:r>
        <w:rPr>
          <w:rFonts w:ascii="Calibri" w:cs="Calibri" w:eastAsia="Calibri" w:hAnsi="Calibri"/>
          <w:b w:val="false"/>
          <w:bCs w:val="false"/>
          <w:i w:val="false"/>
          <w:iCs w:val="false"/>
          <w:strike w:val="false"/>
          <w:color w:val="000000"/>
          <w:sz w:val="22"/>
          <w:szCs w:val="22"/>
        </w:rPr>
        <w:t xml:space="preserve"> Systematically identify threats, vulnerabilities, and threat-asset pairs. Leverage ENISA Threat Landscape reports, MITRE ATT&amp;CK framework, and sector-specific intelligence.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Analysis:</w:t>
      </w:r>
      <w:r>
        <w:rPr>
          <w:rFonts w:ascii="Calibri" w:cs="Calibri" w:eastAsia="Calibri" w:hAnsi="Calibri"/>
          <w:b w:val="false"/>
          <w:bCs w:val="false"/>
          <w:i w:val="false"/>
          <w:iCs w:val="false"/>
          <w:strike w:val="false"/>
          <w:color w:val="000000"/>
          <w:sz w:val="22"/>
          <w:szCs w:val="22"/>
        </w:rPr>
        <w:t xml:space="preserve"> Assess likelihood and impact for each identified risk using qualitative (5×5 matrix) and semi-quantitative methods. Consider existing controls and their effectiveness.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Evaluation:</w:t>
      </w:r>
      <w:r>
        <w:rPr>
          <w:rFonts w:ascii="Calibri" w:cs="Calibri" w:eastAsia="Calibri" w:hAnsi="Calibri"/>
          <w:b w:val="false"/>
          <w:bCs w:val="false"/>
          <w:i w:val="false"/>
          <w:iCs w:val="false"/>
          <w:strike w:val="false"/>
          <w:color w:val="000000"/>
          <w:sz w:val="22"/>
          <w:szCs w:val="22"/>
        </w:rPr>
        <w:t xml:space="preserve"> Compare analyzed risk levels against risk acceptance criteria. Prioritize risks requiring treatment. Map to regulatory requirements (NIS2, DORA).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Treatment:</w:t>
      </w:r>
      <w:r>
        <w:rPr>
          <w:rFonts w:ascii="Calibri" w:cs="Calibri" w:eastAsia="Calibri" w:hAnsi="Calibri"/>
          <w:b w:val="false"/>
          <w:bCs w:val="false"/>
          <w:i w:val="false"/>
          <w:iCs w:val="false"/>
          <w:strike w:val="false"/>
          <w:color w:val="000000"/>
          <w:sz w:val="22"/>
          <w:szCs w:val="22"/>
        </w:rPr>
        <w:t xml:space="preserve"> Select treatment options (Accept, Mitigate, Transfer, Avoid). Define control implementation plans. Assign ownership and timelines. Document residual risk.</w:t>
      </w:r>
    </w:p>
    <w:p>
      <w:pPr>
        <w:pStyle w:val="Heading2"/>
        <w:spacing w:after="120" w:before="360" w:line="312" w:lineRule="auto"/>
      </w:pPr>
      <w:r>
        <w:rPr>
          <w:rFonts w:ascii="Calibri" w:cs="Calibri" w:eastAsia="Calibri" w:hAnsi="Calibri"/>
          <w:color w:val="0F1B2D"/>
          <w:sz w:val="36"/>
          <w:szCs w:val="36"/>
        </w:rPr>
        <w:t xml:space="preserve">2.2 Threat Landscape Analysis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analysis synthesizes the ENISA Threat Landscape methodology and current threat intelligence applicable to EU critical sectors operating under NIS2 and DORA.</w:t>
      </w:r>
    </w:p>
    <w:p>
      <w:pPr>
        <w:pStyle w:val="Heading3"/>
        <w:spacing w:after="120" w:before="240" w:line="312" w:lineRule="auto"/>
      </w:pPr>
      <w:r>
        <w:rPr>
          <w:rFonts w:ascii="Calibri" w:cs="Calibri" w:eastAsia="Calibri" w:hAnsi="Calibri"/>
          <w:color w:val="1A2A44"/>
          <w:sz w:val="28"/>
          <w:szCs w:val="28"/>
        </w:rPr>
        <w:t xml:space="preserve">Top Threat Categories for EU Critical Sectors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Threat Category</w:t>
            </w:r>
          </w:p>
        </w:tc>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Incident Share</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Trend</w:t>
            </w:r>
          </w:p>
        </w:tc>
        <w:tc>
          <w:tcPr>
            <w:tcW w:type="pct" w:w="2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Primary Targets</w:t>
            </w:r>
          </w:p>
        </w:tc>
        <w:tc>
          <w:tcPr>
            <w:tcW w:type="pct" w:w="2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Key Concern for DORA/NIS2</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Ransomware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of reported incidents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Increasing (double/triple extortion)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Healthcare, Finance, Manufacturing</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disruption, data integrity, recovery capability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Supply Chain Attacks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 (growing rapidly)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Sharply increasing</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Software vendors, MSPs, open-source ecosystems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 (DORA Art. 28), supply chain security (NIS2)</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Edge Device Exploitation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Increasing</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IoT devices, legacy routers, VPN gateways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management gaps, vulnerability management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DDoS Attacks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 (public administration)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Stable-to-increasing</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administration, financial services, transport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Service availability, resilience testing validation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Social Engineering / Phishing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Evolving (AI-enhanced)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sectors (initial access vector)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Cyber hygiene, training effectiveness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Sector-Specific Risk Profiles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Sector</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Incident Share</w:t>
            </w:r>
          </w:p>
        </w:tc>
        <w:tc>
          <w:tcPr>
            <w:tcW w:type="pct" w:w="3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Primary Threats</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Regulatory Framework</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Risk Intensity</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Administration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DDoS, ransomware, state-sponsored espionage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Very High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Transport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OT attacks, supply chain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fraud, APTs, supply chain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 + NIS2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Very High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Healthcare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data theft, medical device exploits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High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Manufacturing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OT/ICS attacks, IP theft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Medium-High</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Threat Actor Categorization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Actor Category</w:t>
            </w:r>
          </w:p>
        </w:tc>
        <w:tc>
          <w:tcPr>
            <w:tcW w:type="pct" w:w="2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Motivation</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Capability Level</w:t>
            </w:r>
          </w:p>
        </w:tc>
        <w:tc>
          <w:tcPr>
            <w:tcW w:type="pct" w:w="3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Typical TTPs (MITRE ATT&amp;CK)</w:t>
            </w:r>
          </w:p>
        </w:tc>
        <w:tc>
          <w:tcPr>
            <w:tcW w:type="pct" w:w="2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Primary Targets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Nation-State APTs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Espionage, disruption, geopolitical advantage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Very High</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compromise (T1195), zero-day exploitation (T1190), living off the land (T1218)</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infrastructure, government, defense, finance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Cybercriminal Groups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Financial gain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Phishing (T1566), ransomware deployment (T1486), credential theft (T1003)</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sectors — opportunistic and targeted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Hacktivists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Ideological, political protest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to Medium</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DDoS (T1498), web defacement (T1491), data leaks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 administration, financial sector, energy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Insider Threats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Financial gain, revenge, ideology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 (high access)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exfiltration (T1041), privilege abuse (T1078), sabotage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sectors — especially those with privileged access</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2.3 Risk Register &amp; Treatment Plan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Risk ID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Threat Source</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Vulnerability</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Asset</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L</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I</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Score</w:t>
            </w:r>
          </w:p>
        </w:tc>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Treatment</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Residual Risk</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Owner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(cybercriminal)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Unpatched endpoint OS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banking servers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automated patching, EDR, immutable backups, network segmentation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 provider outage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Single-region deployment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Cloud-hosted transaction processing</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16</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multi-region active-active deployment, automated failover</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Insider threat (disgruntled employee)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Excessive privileged access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PII database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PAM implementation, UEBA monitoring, least-privilege enforcement</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Director / CISO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compromise (APT)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Unvetted software update channel</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Payment processing middleware</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SCA scanning, vendor code signing validation, sandboxed update testing</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DDoS (hacktivist)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Insufficient DDoS mitigation capacity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Public-facing API gateway</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CDN-based DDoS protection, rate limiting, geo-blocking</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Architect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Phishing (cybercriminal)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Insufficient MFA on legacy systems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credentials / email</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phishing-resistant MFA (FIDO2), security awareness training, email filtering</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breach (third-party failure)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security controls gap</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data shared with processor</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Transfer: cyber insurance + Mitigate: enhanced vendor assessment, contractual clauses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DPO / CRO</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Zero-day exploitation (APT)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Unknown vulnerability in network appliance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gateway / firewall</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defense-in-depth, microsegmentation, threat intelligence feeds, ZTNA migration</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Architect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R-009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Regulatory non-compliance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Incomplete incident reporting process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Regulatory reporting system</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automated incident classification, reporting workflow, quarterly compliance checks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 Officer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R-010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failure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Expired or weak TLS certificates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Customer-facing web applications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Mitigate: automated certificate management, TLS 1.3 enforcement, certificate monitoring</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Engineer</w:t>
            </w:r>
          </w:p>
        </w:tc>
      </w:tr>
    </w:tbl>
    <w:p>
      <w:pPr>
        <w:spacing w:after="200" w:before="0"/>
      </w:pPr>
    </w:p>
    <w:p>
      <w:pPr>
        <w:spacing w:after="120" w:before="60" w:line="360" w:lineRule="auto"/>
      </w:pPr>
      <w:r>
        <w:rPr>
          <w:rFonts w:ascii="Calibri" w:cs="Calibri" w:eastAsia="Calibri" w:hAnsi="Calibri"/>
          <w:b w:val="false"/>
          <w:bCs w:val="false"/>
          <w:i/>
          <w:iCs/>
          <w:strike w:val="false"/>
          <w:color w:val="000000"/>
          <w:sz w:val="22"/>
          <w:szCs w:val="22"/>
        </w:rPr>
        <w:t xml:space="preserve">L = Likelihood (1–5), I = Impact (1–5), Score = L × I. Treatment options: Accept (≤6), Mitigate (7–14), Transfer (insurance), Avoid (eliminate the activity).</w:t>
      </w:r>
    </w:p>
    <w:p>
      <w:pPr>
        <w:pStyle w:val="Heading2"/>
        <w:spacing w:after="120" w:before="360" w:line="312" w:lineRule="auto"/>
      </w:pPr>
      <w:r>
        <w:rPr>
          <w:rFonts w:ascii="Calibri" w:cs="Calibri" w:eastAsia="Calibri" w:hAnsi="Calibri"/>
          <w:color w:val="0F1B2D"/>
          <w:sz w:val="36"/>
          <w:szCs w:val="36"/>
        </w:rPr>
        <w:t xml:space="preserve">2.4 Policy Framework Aligned to ENISA 13 Domains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Domain</w:t>
            </w:r>
          </w:p>
        </w:tc>
        <w:tc>
          <w:tcPr>
            <w:tcW w:type="pct" w:w="1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Objective</w:t>
            </w:r>
          </w:p>
        </w:tc>
        <w:tc>
          <w:tcPr>
            <w:tcW w:type="pct" w:w="4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Policy Statement (Summary)</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Review</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Responsible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NIS Security Policy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 overarching security governance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organization shall maintain an approved information security policy defining strategic objectives, roles, and responsibilities. The policy is endorsed by senior management and communicated to all personnel.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CISO</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 Risk Management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Systematic risk identification and treatment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risk management framework aligned to ISO 31000 shall be implemented. Risk assessments are conducted annually and upon material change. Risk acceptance decisions require CRO approval.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CRO</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 Incident Handling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Effective incident detection, response, and reporting</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cybersecurity incidents shall be reported, classified, and managed per defined procedures. NIS2-significant incidents shall be reported to the national CSIRT within 24 hours (early warning) and 72 hours (full notification).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SOC Manager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 Business Continuity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Ensure operational continuity during disruptions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and disaster recovery plans shall be maintained for all critical functions. Plans shall be tested at least annually. Crisis communication procedures shall be established and rehearsed.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BCM Manager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Supply Chain Security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 risks from ICT supply chain</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ICT suppliers and service providers shall be assessed for security risks prior to engagement. Ongoing monitoring and contractual security requirements shall be applied proportionately to criticality.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Procurement / CISO</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 Secure Development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Embed security in acquisition and development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software development shall follow a secure SDLC incorporating threat modeling, code review, SAST/DAST testing, and vulnerability management. Third-party components shall be assessed via SCA.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 Lead / CISO</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 Effectiveness Assessment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Continuously measure and improve security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effectiveness of cybersecurity measures shall be assessed through regular audits, penetration testing, KPI measurement, and management reviews. Findings shall drive continuous improvement.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Audit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 Cyber Hygiene &amp; Training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security-aware culture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personnel shall complete mandatory cybersecurity awareness training upon onboarding and annually thereafter. Role-based training shall be provided for technical and privileged users. Phishing simulations conducted quarterly.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 CISO</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 Cryptography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Protect data confidentiality and integrity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shall be encrypted at rest (AES-256) and in transit (TLS 1.3). Cryptographic key management shall follow documented procedures with key rotation schedules and secure key storage (HSM for critical keys).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Engineer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 Human Resources Security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Manage people-related security risks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Background checks shall be performed for all roles with access to sensitive systems. Security responsibilities are defined in role descriptions. Offboarding includes immediate access revocation and asset return.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Director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11. Access Control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Enforce least-privilege access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to systems and data shall follow the principle of least privilege. Multi-factor authentication is mandatory for all remote access and privileged accounts. Access reviews conducted quarterly.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IAM Manager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12. Asset Management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comprehensive asset visibility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ICT assets shall be inventoried, classified, and assigned an owner. Asset discovery scans run continuously. End-of-life assets are decommissioned per documented procedures.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Operations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13. Physical &amp; Environmental Security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Protect physical assets and infrastructure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Physical access to data centers and critical infrastructure is controlled via multi-layer authentication. Environmental controls (fire suppression, HVAC, flood detection) are monitored 24/7.</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Facilities Manager</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2.5 Threat Attribution Narratives</w:t>
      </w:r>
    </w:p>
    <w:p>
      <w:pPr>
        <w:pStyle w:val="Heading3"/>
        <w:spacing w:after="120" w:before="240" w:line="312" w:lineRule="auto"/>
      </w:pPr>
      <w:r>
        <w:rPr>
          <w:rFonts w:ascii="Calibri" w:cs="Calibri" w:eastAsia="Calibri" w:hAnsi="Calibri"/>
          <w:color w:val="1A2A44"/>
          <w:sz w:val="28"/>
          <w:szCs w:val="28"/>
        </w:rPr>
        <w:t xml:space="preserve">Narrative 1: APT Scenario — "Operation Midnight Ledger"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Q4 2025, a European payment processor — operating under DORA as a critical ICT third-party service provider — experienced a sophisticated intrusion attributed to a nation-state advanced persistent threat group. The attack began with a compromise of the update mechanism for a widely used financial messaging middleware component, consistent with </w:t>
      </w:r>
      <w:r>
        <w:rPr>
          <w:rFonts w:ascii="Calibri" w:cs="Calibri" w:eastAsia="Calibri" w:hAnsi="Calibri"/>
          <w:b/>
          <w:bCs/>
          <w:i w:val="false"/>
          <w:iCs w:val="false"/>
          <w:strike w:val="false"/>
          <w:color w:val="000000"/>
          <w:sz w:val="22"/>
          <w:szCs w:val="22"/>
        </w:rPr>
        <w:t xml:space="preserve">MITRE ATT&amp;CK T1195.002 (Supply Chain Compromise: Compromise Software Supply Chain)</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threat actor injected a backdoor into a legitimate software update package distributed in October 2025. Upon deployment, the backdoor established encrypted command-and-control communications via HTTPS to actor-controlled infrastructure hosted on compromised legitimate domains, mapping to </w:t>
      </w:r>
      <w:r>
        <w:rPr>
          <w:rFonts w:ascii="Calibri" w:cs="Calibri" w:eastAsia="Calibri" w:hAnsi="Calibri"/>
          <w:b/>
          <w:bCs/>
          <w:i w:val="false"/>
          <w:iCs w:val="false"/>
          <w:strike w:val="false"/>
          <w:color w:val="000000"/>
          <w:sz w:val="22"/>
          <w:szCs w:val="22"/>
        </w:rPr>
        <w:t xml:space="preserve">T1071.001 (Application Layer Protocol: Web Protocols)</w:t>
      </w:r>
      <w:r>
        <w:rPr>
          <w:rFonts w:ascii="Calibri" w:cs="Calibri" w:eastAsia="Calibri" w:hAnsi="Calibri"/>
          <w:b w:val="false"/>
          <w:bCs w:val="false"/>
          <w:i w:val="false"/>
          <w:iCs w:val="false"/>
          <w:strike w:val="false"/>
          <w:color w:val="000000"/>
          <w:sz w:val="22"/>
          <w:szCs w:val="22"/>
        </w:rPr>
        <w:t xml:space="preserve">. The C2 channel utilized domain fronting through a major European CDN provider, complicating network-level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Over a period of approximately six weeks, the actor conducted careful lateral movement using stolen Kerberos tickets (</w:t>
      </w:r>
      <w:r>
        <w:rPr>
          <w:rFonts w:ascii="Calibri" w:cs="Calibri" w:eastAsia="Calibri" w:hAnsi="Calibri"/>
          <w:b/>
          <w:bCs/>
          <w:i w:val="false"/>
          <w:iCs w:val="false"/>
          <w:strike w:val="false"/>
          <w:color w:val="000000"/>
          <w:sz w:val="22"/>
          <w:szCs w:val="22"/>
        </w:rPr>
        <w:t xml:space="preserve">T1558.003 — Kerberoasting</w:t>
      </w:r>
      <w:r>
        <w:rPr>
          <w:rFonts w:ascii="Calibri" w:cs="Calibri" w:eastAsia="Calibri" w:hAnsi="Calibri"/>
          <w:b w:val="false"/>
          <w:bCs w:val="false"/>
          <w:i w:val="false"/>
          <w:iCs w:val="false"/>
          <w:strike w:val="false"/>
          <w:color w:val="000000"/>
          <w:sz w:val="22"/>
          <w:szCs w:val="22"/>
        </w:rPr>
        <w:t xml:space="preserve">) and mapped the internal network topology, focusing on systems handling SEPA and SWIFT message processing. Data staging occurred on an internal file server using encrypted archives (</w:t>
      </w:r>
      <w:r>
        <w:rPr>
          <w:rFonts w:ascii="Calibri" w:cs="Calibri" w:eastAsia="Calibri" w:hAnsi="Calibri"/>
          <w:b/>
          <w:bCs/>
          <w:i w:val="false"/>
          <w:iCs w:val="false"/>
          <w:strike w:val="false"/>
          <w:color w:val="000000"/>
          <w:sz w:val="22"/>
          <w:szCs w:val="22"/>
        </w:rPr>
        <w:t xml:space="preserve">T1560.001 — Archive via Utility</w:t>
      </w:r>
      <w:r>
        <w:rPr>
          <w:rFonts w:ascii="Calibri" w:cs="Calibri" w:eastAsia="Calibri" w:hAnsi="Calibri"/>
          <w:b w:val="false"/>
          <w:bCs w:val="false"/>
          <w:i w:val="false"/>
          <w:iCs w:val="false"/>
          <w:strike w:val="false"/>
          <w:color w:val="000000"/>
          <w:sz w:val="22"/>
          <w:szCs w:val="22"/>
        </w:rPr>
        <w:t xml:space="preserve">), with exfiltration attempted via the same C2 channel in small, scheduled bursts designed to blend with normal traffic 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intrusion was detected when the security operations team identified anomalous DNS resolution patterns — the C2 domains resolved to IP addresses in autonomous systems not associated with the CDN provider. Subsequent forensic analysis revealed temporal correlation: C2 callbacks consistently occurred during UTC+3 business hours, suggesting an Eastern European or Western Asian threat actor. The TTPs, infrastructure, and victimology aligned with a known APT cluster tracked by multiple European intelligence agencies. The entity's incident response, informed by the framework in this playbook, contained the breach before any financial transaction data was exfiltrated.</w:t>
      </w:r>
    </w:p>
    <w:p>
      <w:pPr>
        <w:pStyle w:val="Heading3"/>
        <w:spacing w:after="120" w:before="240" w:line="312" w:lineRule="auto"/>
      </w:pPr>
      <w:r>
        <w:rPr>
          <w:rFonts w:ascii="Calibri" w:cs="Calibri" w:eastAsia="Calibri" w:hAnsi="Calibri"/>
          <w:color w:val="1A2A44"/>
          <w:sz w:val="28"/>
          <w:szCs w:val="28"/>
        </w:rPr>
        <w:t xml:space="preserve">Narrative 2: Ransomware Scenario — "BlackVault Syndicate"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February 2026, a mid-tier insurance company operating across three EU Member States fell victim to a ransomware-as-a-service (RaaS) attack attributed to a group tracked as the "BlackVault Syndicate." The initial access vector was a targeted spear-phishing campaign directed at the company's claims processing department. Emails impersonated a legitimate reinsurance partner and contained malicious macro-enabled documents.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execution, the macro deployed a first-stage loader that downloaded the main payload from a compromised WordPress site. The threat actor exploited an unpatched Fortinet VPN gateway vulnerability (CVE-2024-XXXX, a simulated reference) to establish persistent access from a secondary entry point. Over 72 hours, the actor disabled Windows Defender via Group Policy modification, deployed Cobalt Strike beacons across the domain, and exfiltrated approximately 340 GB of customer data — including policy documents, claims records, and financial data — to an actor-controlled cloud storage account.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the fourth day, the ransomware payload was deployed simultaneously across 1,200 endpoints and 47 servers using PsExec and compromised domain administrator credentials. The ransom note demanded 50 BTC, with a secondary threat to publish the exfiltrated data on a dedicated leak site — a classic double extortion model. Attribution was established through multiple indicators: the ransom note matched the BlackVault template (including distinctive Russian-language grammar patterns in the English text), cryptocurrency tracing linked the designated wallet to a cluster associated with prior BlackVault operations, and the Cobalt Strike configuration matched known BlackVault malleable C2 profiles. The entity's recovery, guided by the automated recovery playbooks detailed in Playbook 4, achieved full operational restoration within 38 hours from clean backups.</w:t>
      </w:r>
    </w:p>
    <w:p>
      <w:pPr>
        <w:pStyle w:val="Heading3"/>
        <w:spacing w:after="120" w:before="240" w:line="312" w:lineRule="auto"/>
      </w:pPr>
      <w:r>
        <w:rPr>
          <w:rFonts w:ascii="Calibri" w:cs="Calibri" w:eastAsia="Calibri" w:hAnsi="Calibri"/>
          <w:color w:val="1A2A44"/>
          <w:sz w:val="28"/>
          <w:szCs w:val="28"/>
        </w:rPr>
        <w:t xml:space="preserve">Narrative 3: Insider Threat Scenario — "The Silent Exfiltrator"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Between September 2025 and March 2026, a senior systems administrator at a critical infrastructure operator in the energy sector systematically exfiltrated sensitive operational technology documentation, network architecture diagrams, and SCADA system configurations. The individual, who had been passed over for promotion and was actively interviewing with a competitor, leveraged legitimate privileged access to bypass standard data loss prevention controls.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exfiltration methodology was deliberate and patient. The administrator accessed OT documentation repositories during normal working hours — activities indistinguishable from routine job duties. However, the data was copied to a personal USB device in small increments, typically 50–100 MB per session, two to three times per week. The administrator also configured a personal cloud synchronization client on a secondary workstation, disguised as a legitimate backup utility, to replicate selected files to an external storage account.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Detection came through the convergence of two monitoring systems. The organization's User and Entity Behavior Analytics (UEBA) platform flagged a gradual anomaly: the administrator's data access volume exceeded their peer group baseline by 340% over a rolling 90-day window. Concurrently, the Data Loss Prevention (DLP) system detected USB write operations to an unregistered device, though the alerts had been initially classified as low-severity due to the administrator's privileged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retrospective investigation, triggered by the UEBA alert, reconstructed a complete timeline from access logs, file server audit trails, and endpoint telemetry. The investigation confirmed that approximately 4.7 GB of sensitive operational data had been exfiltrated over the six-month period. The administrator was terminated, and legal proceedings were initiated. The case prompted a fundamental redesign of the organization's privileged access monitoring controls, including implementation of just-in-time access provisioning and mandatory session recording for all OT system access.</w:t>
      </w:r>
    </w:p>
    <w:p>
      <w:pPr>
        <w:pStyle w:val="Heading2"/>
        <w:spacing w:after="120" w:before="360" w:line="312" w:lineRule="auto"/>
      </w:pPr>
      <w:r>
        <w:rPr>
          <w:rFonts w:ascii="Calibri" w:cs="Calibri" w:eastAsia="Calibri" w:hAnsi="Calibri"/>
          <w:color w:val="0F1B2D"/>
          <w:sz w:val="36"/>
          <w:szCs w:val="36"/>
        </w:rPr>
        <w:t xml:space="preserve">2.6 Case Study: ENISA-Aligned Risk Assessment for a Payment Service Provider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A44" w:sz="6"/>
              <w:left w:val="single" w:color="1A2A44" w:sz="6"/>
              <w:bottom w:val="single" w:color="1A2A44" w:sz="6"/>
              <w:right w:val="single" w:color="1A2A44"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1B2D"/>
                <w:sz w:val="22"/>
                <w:szCs w:val="22"/>
              </w:rPr>
              <w:t xml:space="preserve">Case Study Context</w:t>
            </w:r>
          </w:p>
          <w:p>
            <w:pPr>
              <w:spacing w:after="120" w:line="360" w:lineRule="auto"/>
            </w:pPr>
            <w:r>
              <w:rPr>
                <w:rFonts w:ascii="Calibri" w:cs="Calibri" w:eastAsia="Calibri" w:hAnsi="Calibri"/>
                <w:b/>
                <w:bCs/>
                <w:i w:val="false"/>
                <w:iCs w:val="false"/>
                <w:strike w:val="false"/>
                <w:color w:val="000000"/>
                <w:sz w:val="22"/>
                <w:szCs w:val="22"/>
              </w:rPr>
              <w:t xml:space="preserve">Entity:</w:t>
            </w:r>
            <w:r>
              <w:rPr>
                <w:rFonts w:ascii="Calibri" w:cs="Calibri" w:eastAsia="Calibri" w:hAnsi="Calibri"/>
                <w:b w:val="false"/>
                <w:bCs w:val="false"/>
                <w:i w:val="false"/>
                <w:iCs w:val="false"/>
                <w:strike w:val="false"/>
                <w:color w:val="000000"/>
                <w:sz w:val="22"/>
                <w:szCs w:val="22"/>
              </w:rPr>
              <w:t xml:space="preserve"> NordPay Solutions (fictional) — EU-licensed payment service provider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Full NIS2 compliance assessment across all 13 ENISA domains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Period:</w:t>
            </w:r>
            <w:r>
              <w:rPr>
                <w:rFonts w:ascii="Calibri" w:cs="Calibri" w:eastAsia="Calibri" w:hAnsi="Calibri"/>
                <w:b w:val="false"/>
                <w:bCs w:val="false"/>
                <w:i w:val="false"/>
                <w:iCs w:val="false"/>
                <w:strike w:val="false"/>
                <w:color w:val="000000"/>
                <w:sz w:val="22"/>
                <w:szCs w:val="22"/>
              </w:rPr>
              <w:t xml:space="preserve"> January – April 2026</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Background:</w:t>
      </w:r>
      <w:r>
        <w:rPr>
          <w:rFonts w:ascii="Calibri" w:cs="Calibri" w:eastAsia="Calibri" w:hAnsi="Calibri"/>
          <w:b w:val="false"/>
          <w:bCs w:val="false"/>
          <w:i w:val="false"/>
          <w:iCs w:val="false"/>
          <w:strike w:val="false"/>
          <w:color w:val="000000"/>
          <w:sz w:val="22"/>
          <w:szCs w:val="22"/>
        </w:rPr>
        <w:t xml:space="preserve"> NordPay Solutions processes over 2 million daily payment transactions across 12 EU Member States. As a NIS2 "essential entity" and DORA-regulated financial entity, NordPay engaged a comprehensive cybersecurity assessment aligned to ENISA's 13-domain framework to establish a compliance baseline and develop a remediation roadmap.</w:t>
      </w:r>
    </w:p>
    <w:p>
      <w:pPr>
        <w:pStyle w:val="Heading3"/>
        <w:spacing w:after="120" w:before="240" w:line="312" w:lineRule="auto"/>
      </w:pPr>
      <w:r>
        <w:rPr>
          <w:rFonts w:ascii="Calibri" w:cs="Calibri" w:eastAsia="Calibri" w:hAnsi="Calibri"/>
          <w:color w:val="1A2A44"/>
          <w:sz w:val="28"/>
          <w:szCs w:val="28"/>
        </w:rPr>
        <w:t xml:space="preserve">Assessment Results by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Domain</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Maturity Rating</w:t>
            </w:r>
          </w:p>
        </w:tc>
        <w:tc>
          <w:tcPr>
            <w:tcW w:type="pct" w:w="6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Key Finding</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NIS Security Policy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Advanced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Comprehensive policy framework, board-endorsed, regularly reviewed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Risk Management</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register maintained; semi-quantitative methodology; integration with business planning needed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Incident Handling</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24/7 SOC operational; NIS2 reporting timelines not yet fully integrated into workflow</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Business Continuity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 exists but not tested in 14 months; crisis communication plan outdated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Supply Chain Security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risk assessments incomplete for 30% of ICT providers; no formal supply chain risk policy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 Secure Development</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SAST/DAST in CI/CD pipeline; threat modeling not consistently applied to new features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Effectiveness Assessment</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penetration testing; KPI framework exists but limited automated measurement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Cyber Hygiene &amp; Training</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training completed; phishing simulation program launched but click rates remain at 18%</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 Cryptography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Advanced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AES-256 at rest, TLS 1.3 in transit; HSM-based key management; PCI DSS aligned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Human Resources Security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Background checks inconsistent for contractor roles; offboarding process lacks automated access revocation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 Access Control</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MFA deployed for remote access; PAM solution in rollout phase; access reviews quarterly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Asset Management</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CMDB 70% populated; shadow IT assessment not conducted; cloud asset visibility gaps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 Physical Security</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Advanced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centers SOC 2 certified; biometric access; 24/7 monitoring; robust environmental controls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Summary:</w:t>
      </w:r>
      <w:r>
        <w:rPr>
          <w:rFonts w:ascii="Calibri" w:cs="Calibri" w:eastAsia="Calibri" w:hAnsi="Calibri"/>
          <w:b w:val="false"/>
          <w:bCs w:val="false"/>
          <w:i w:val="false"/>
          <w:iCs w:val="false"/>
          <w:strike w:val="false"/>
          <w:color w:val="000000"/>
          <w:sz w:val="22"/>
          <w:szCs w:val="22"/>
        </w:rPr>
        <w:t xml:space="preserve"> 3 domains rated </w:t>
      </w:r>
      <w:r>
        <w:rPr>
          <w:rFonts w:ascii="Calibri" w:cs="Calibri" w:eastAsia="Calibri" w:hAnsi="Calibri"/>
          <w:b/>
          <w:bCs/>
          <w:i w:val="false"/>
          <w:iCs w:val="false"/>
          <w:strike w:val="false"/>
          <w:color w:val="000000"/>
          <w:sz w:val="22"/>
          <w:szCs w:val="22"/>
        </w:rPr>
        <w:t xml:space="preserve">Advanced</w:t>
      </w:r>
      <w:r>
        <w:rPr>
          <w:rFonts w:ascii="Calibri" w:cs="Calibri" w:eastAsia="Calibri" w:hAnsi="Calibri"/>
          <w:b w:val="false"/>
          <w:bCs w:val="false"/>
          <w:i w:val="false"/>
          <w:iCs w:val="false"/>
          <w:strike w:val="false"/>
          <w:color w:val="000000"/>
          <w:sz w:val="22"/>
          <w:szCs w:val="22"/>
        </w:rPr>
        <w:t xml:space="preserve">, 6 domains rated </w:t>
      </w:r>
      <w:r>
        <w:rPr>
          <w:rFonts w:ascii="Calibri" w:cs="Calibri" w:eastAsia="Calibri" w:hAnsi="Calibri"/>
          <w:b/>
          <w:bCs/>
          <w:i w:val="false"/>
          <w:iCs w:val="false"/>
          <w:strike w:val="false"/>
          <w:color w:val="000000"/>
          <w:sz w:val="22"/>
          <w:szCs w:val="22"/>
        </w:rPr>
        <w:t xml:space="preserve">Established</w:t>
      </w:r>
      <w:r>
        <w:rPr>
          <w:rFonts w:ascii="Calibri" w:cs="Calibri" w:eastAsia="Calibri" w:hAnsi="Calibri"/>
          <w:b w:val="false"/>
          <w:bCs w:val="false"/>
          <w:i w:val="false"/>
          <w:iCs w:val="false"/>
          <w:strike w:val="false"/>
          <w:color w:val="000000"/>
          <w:sz w:val="22"/>
          <w:szCs w:val="22"/>
        </w:rPr>
        <w:t xml:space="preserve">, 4 domains rated </w:t>
      </w:r>
      <w:r>
        <w:rPr>
          <w:rFonts w:ascii="Calibri" w:cs="Calibri" w:eastAsia="Calibri" w:hAnsi="Calibri"/>
          <w:b/>
          <w:bCs/>
          <w:i w:val="false"/>
          <w:iCs w:val="false"/>
          <w:strike w:val="false"/>
          <w:color w:val="000000"/>
          <w:sz w:val="22"/>
          <w:szCs w:val="22"/>
        </w:rPr>
        <w:t xml:space="preserve">Developing</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312" w:lineRule="auto"/>
      </w:pPr>
      <w:r>
        <w:rPr>
          <w:rFonts w:ascii="Calibri" w:cs="Calibri" w:eastAsia="Calibri" w:hAnsi="Calibri"/>
          <w:color w:val="1A2A44"/>
          <w:sz w:val="28"/>
          <w:szCs w:val="28"/>
        </w:rPr>
        <w:t xml:space="preserve">Remediation Roadmap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Milestone</w:t>
            </w:r>
          </w:p>
        </w:tc>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Domains Addressed</w:t>
            </w:r>
          </w:p>
        </w:tc>
        <w:tc>
          <w:tcPr>
            <w:tcW w:type="pct" w:w="5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Key Actions</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 Date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90-Day Sprint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HR Security</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vendor risk assessments for all remaining ICT providers; implement automated access revocation in offboarding; establish contractor background check policy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July 2026</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180-Day Milestone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Asset Management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 BCP test covering all critical functions; update crisis communication plan; deploy cloud asset discovery tooling; populate CMDB to 95%+; conduct shadow IT assessment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October 2026</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365-Day Target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domains — Continuous Improvement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Elevate all "Developing" domains to "Established"; implement automated KPI dashboards; achieve NIS2 full compliance posture; conduct independent audit validation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2027</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Attribution Narrative — Ssambra's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A44"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NordPay assessment presented an interesting challenge: a technically mature organization with strong cryptographic and physical security controls but significant gaps in the governance and process domains — supply chain security, business continuity, and HR security. This pattern is common in payment processors: they invest heavily in transaction security (PCI DSS drives that) but underinvest in the broader operational resilience framework that NIS2 and DORA 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My approach was to conduct a structured assessment using ENISA's 13-domain framework as the scaffold, but I supplemented it with evidence-based interviews, document review, and technical validation. I did not simply accept policy documents at face value — I verified implementation. When NordPay presented their BCP documentation, I asked for the last test execution log. The 14-month gap told a more important story than the plan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remediation roadmap was designed to address the highest-risk gaps first (supply chain and HR security in 90 days) while allowing adequate time for the infrastructure-heavy improvements (asset management, BCP testing) in the 180-day window. The 365-day target establishes the continuous improvement cycle that ENISA and NIS2 require — compliance is not a destination, it is a posture.</w:t>
            </w:r>
          </w:p>
          <w:p>
            <w:pPr>
              <w:spacing w:after="120" w:line="360" w:lineRule="auto"/>
              <w:jc w:val="right"/>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Ssambra</w:t>
            </w:r>
            <w:r>
              <w:rPr>
                <w:rFonts w:ascii="Calibri" w:cs="Calibri" w:eastAsia="Calibri" w:hAnsi="Calibri"/>
                <w:b w:val="false"/>
                <w:bCs w:val="false"/>
                <w:i w:val="false"/>
                <w:iCs w:val="false"/>
                <w:strike w:val="false"/>
                <w:color w:val="000000"/>
                <w:sz w:val="22"/>
                <w:szCs w:val="22"/>
              </w:rPr>
              <w:t xml:space="preserve">, Identity Auditor &amp; Threat Sentinel</w:t>
            </w:r>
          </w:p>
        </w:tc>
      </w:tr>
    </w:tbl>
    <w:p>
      <w:pPr>
        <w:spacing w:after="24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Master Playbook 3: Chaos Engineering &amp; Digital Operational Resilience Testing</w:t>
      </w:r>
    </w:p>
    <w:p>
      <w:pPr>
        <w:pStyle w:val="Heading2"/>
        <w:spacing w:after="120" w:before="360" w:line="312" w:lineRule="auto"/>
      </w:pPr>
      <w:r>
        <w:rPr>
          <w:rFonts w:ascii="Calibri" w:cs="Calibri" w:eastAsia="Calibri" w:hAnsi="Calibri"/>
          <w:color w:val="0F1B2D"/>
          <w:sz w:val="36"/>
          <w:szCs w:val="36"/>
        </w:rPr>
        <w:t xml:space="preserve">3.1 DORA Resilience Testing Framework</w:t>
      </w:r>
    </w:p>
    <w:p>
      <w:pPr>
        <w:spacing w:after="120" w:before="60" w:line="360" w:lineRule="auto"/>
      </w:pPr>
      <w:r>
        <w:rPr>
          <w:rFonts w:ascii="Calibri" w:cs="Calibri" w:eastAsia="Calibri" w:hAnsi="Calibri"/>
          <w:b/>
          <w:bCs/>
          <w:i w:val="false"/>
          <w:iCs w:val="false"/>
          <w:strike w:val="false"/>
          <w:color w:val="000000"/>
          <w:sz w:val="22"/>
          <w:szCs w:val="22"/>
        </w:rPr>
        <w:t xml:space="preserve">DORA Chapter IV (Articles 24–27)</w:t>
      </w:r>
      <w:r>
        <w:rPr>
          <w:rFonts w:ascii="Calibri" w:cs="Calibri" w:eastAsia="Calibri" w:hAnsi="Calibri"/>
          <w:b w:val="false"/>
          <w:bCs w:val="false"/>
          <w:i w:val="false"/>
          <w:iCs w:val="false"/>
          <w:strike w:val="false"/>
          <w:color w:val="000000"/>
          <w:sz w:val="22"/>
          <w:szCs w:val="22"/>
        </w:rPr>
        <w:t xml:space="preserve"> establishes a comprehensive framework for digital operational resilience testing. Financial entities must adopt a risk-based, proportionate testing program that validates their ability to identify weaknesses, deficiencies, and gaps in their digital operational resilience and to promptly implement corrective measures.</w:t>
      </w:r>
    </w:p>
    <w:p>
      <w:pPr>
        <w:pStyle w:val="Heading3"/>
        <w:spacing w:after="120" w:before="240" w:line="312" w:lineRule="auto"/>
      </w:pPr>
      <w:r>
        <w:rPr>
          <w:rFonts w:ascii="Calibri" w:cs="Calibri" w:eastAsia="Calibri" w:hAnsi="Calibri"/>
          <w:color w:val="1A2A44"/>
          <w:sz w:val="28"/>
          <w:szCs w:val="28"/>
        </w:rPr>
        <w:t xml:space="preserve">General Requirements (Article 24)</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Financial entities shall establish, maintain, and review a sound and comprehensive digital operational resilience testing program as an integral part of their ICT risk management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testing program shall be proportionate to the entity's size, business profile, and risk profile, taking into account the nature, scale, and complexity of ICT services.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Testing shall cover all ICT systems and applications supporting critical or important functions.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Testing shall be undertaken by independent parties — internal or external — with no conflicts of interest.</w:t>
      </w:r>
    </w:p>
    <w:p>
      <w:pPr>
        <w:pStyle w:val="Heading3"/>
        <w:spacing w:after="120" w:before="240" w:line="312" w:lineRule="auto"/>
      </w:pPr>
      <w:r>
        <w:rPr>
          <w:rFonts w:ascii="Calibri" w:cs="Calibri" w:eastAsia="Calibri" w:hAnsi="Calibri"/>
          <w:color w:val="1A2A44"/>
          <w:sz w:val="28"/>
          <w:szCs w:val="28"/>
        </w:rPr>
        <w:t xml:space="preserve">Testing Types per Article 25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Testing Type</w:t>
            </w:r>
          </w:p>
        </w:tc>
        <w:tc>
          <w:tcPr>
            <w:tcW w:type="pct" w:w="4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Description</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Frequency</w:t>
            </w:r>
          </w:p>
        </w:tc>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Applicability</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Vulnerability assessments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scanning for known vulnerabilities in systems, networks, and applications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 Monthly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analysis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Assessment of open-source component risks (SCA)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release + quarterly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security assessments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Evaluation of network architecture, segmentation, and perimeter controls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Gap analyses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Identification of control gaps against regulatory and standards requirements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Physical security reviews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Assessment of physical access controls, environmental protections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Software composition analysis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Bill of materials review for third-party and open-source components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release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Source code reviews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and automated review of custom application code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major release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Entities developing software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Scenario-based tests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Simulation of specific threat scenarios (e.g., ransomware, DDoS)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Compatibility testing</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Validation of system interoperability after changes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change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testing</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 stress, and endurance testing of critical systems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End-to-end testing</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Validation of complete business process flows under normal and stress conditions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Penetration testing</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Adversarial testing of system defenses by simulating real attacks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entities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Threat-Led Penetration Testing (TLPT) — Article 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Significant financial entities must conduct </w:t>
      </w:r>
      <w:r>
        <w:rPr>
          <w:rFonts w:ascii="Calibri" w:cs="Calibri" w:eastAsia="Calibri" w:hAnsi="Calibri"/>
          <w:b/>
          <w:bCs/>
          <w:i w:val="false"/>
          <w:iCs w:val="false"/>
          <w:strike w:val="false"/>
          <w:color w:val="000000"/>
          <w:sz w:val="22"/>
          <w:szCs w:val="22"/>
        </w:rPr>
        <w:t xml:space="preserve">threat-led penetration testing (TLPT)</w:t>
      </w:r>
      <w:r>
        <w:rPr>
          <w:rFonts w:ascii="Calibri" w:cs="Calibri" w:eastAsia="Calibri" w:hAnsi="Calibri"/>
          <w:b w:val="false"/>
          <w:bCs w:val="false"/>
          <w:i w:val="false"/>
          <w:iCs w:val="false"/>
          <w:strike w:val="false"/>
          <w:color w:val="000000"/>
          <w:sz w:val="22"/>
          <w:szCs w:val="22"/>
        </w:rPr>
        <w:t xml:space="preserve"> at least every three years. TLPT goes beyond standard penetration testing by: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Covering critical or important functions of the financial entity on </w:t>
      </w:r>
      <w:r>
        <w:rPr>
          <w:rFonts w:ascii="Calibri" w:cs="Calibri" w:eastAsia="Calibri" w:hAnsi="Calibri"/>
          <w:b/>
          <w:bCs/>
          <w:i w:val="false"/>
          <w:iCs w:val="false"/>
          <w:strike w:val="false"/>
          <w:color w:val="000000"/>
          <w:sz w:val="22"/>
          <w:szCs w:val="22"/>
        </w:rPr>
        <w:t xml:space="preserve">live production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Being based on </w:t>
      </w:r>
      <w:r>
        <w:rPr>
          <w:rFonts w:ascii="Calibri" w:cs="Calibri" w:eastAsia="Calibri" w:hAnsi="Calibri"/>
          <w:b/>
          <w:bCs/>
          <w:i w:val="false"/>
          <w:iCs w:val="false"/>
          <w:strike w:val="false"/>
          <w:color w:val="000000"/>
          <w:sz w:val="22"/>
          <w:szCs w:val="22"/>
        </w:rPr>
        <w:t xml:space="preserve">real, current threat intelligence</w:t>
      </w:r>
      <w:r>
        <w:rPr>
          <w:rFonts w:ascii="Calibri" w:cs="Calibri" w:eastAsia="Calibri" w:hAnsi="Calibri"/>
          <w:b w:val="false"/>
          <w:bCs w:val="false"/>
          <w:i w:val="false"/>
          <w:iCs w:val="false"/>
          <w:strike w:val="false"/>
          <w:color w:val="000000"/>
          <w:sz w:val="22"/>
          <w:szCs w:val="22"/>
        </w:rPr>
        <w:t xml:space="preserve"> specific to the entity's threat landscape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Involving a </w:t>
      </w:r>
      <w:r>
        <w:rPr>
          <w:rFonts w:ascii="Calibri" w:cs="Calibri" w:eastAsia="Calibri" w:hAnsi="Calibri"/>
          <w:b/>
          <w:bCs/>
          <w:i w:val="false"/>
          <w:iCs w:val="false"/>
          <w:strike w:val="false"/>
          <w:color w:val="000000"/>
          <w:sz w:val="22"/>
          <w:szCs w:val="22"/>
        </w:rPr>
        <w:t xml:space="preserve">threat intelligence provider</w:t>
      </w:r>
      <w:r>
        <w:rPr>
          <w:rFonts w:ascii="Calibri" w:cs="Calibri" w:eastAsia="Calibri" w:hAnsi="Calibri"/>
          <w:b w:val="false"/>
          <w:bCs w:val="false"/>
          <w:i w:val="false"/>
          <w:iCs w:val="false"/>
          <w:strike w:val="false"/>
          <w:color w:val="000000"/>
          <w:sz w:val="22"/>
          <w:szCs w:val="22"/>
        </w:rPr>
        <w:t xml:space="preserve"> (producing a targeted threat intelligence report) and a </w:t>
      </w:r>
      <w:r>
        <w:rPr>
          <w:rFonts w:ascii="Calibri" w:cs="Calibri" w:eastAsia="Calibri" w:hAnsi="Calibri"/>
          <w:b/>
          <w:bCs/>
          <w:i w:val="false"/>
          <w:iCs w:val="false"/>
          <w:strike w:val="false"/>
          <w:color w:val="000000"/>
          <w:sz w:val="22"/>
          <w:szCs w:val="22"/>
        </w:rPr>
        <w:t xml:space="preserve">red team provider</w:t>
      </w:r>
      <w:r>
        <w:rPr>
          <w:rFonts w:ascii="Calibri" w:cs="Calibri" w:eastAsia="Calibri" w:hAnsi="Calibri"/>
          <w:b w:val="false"/>
          <w:bCs w:val="false"/>
          <w:i w:val="false"/>
          <w:iCs w:val="false"/>
          <w:strike w:val="false"/>
          <w:color w:val="000000"/>
          <w:sz w:val="22"/>
          <w:szCs w:val="22"/>
        </w:rPr>
        <w:t xml:space="preserve"> (executing the test)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Requiring testers to meet </w:t>
      </w:r>
      <w:r>
        <w:rPr>
          <w:rFonts w:ascii="Calibri" w:cs="Calibri" w:eastAsia="Calibri" w:hAnsi="Calibri"/>
          <w:b w:val="false"/>
          <w:bCs w:val="false"/>
          <w:i/>
          <w:iCs/>
          <w:strike w:val="false"/>
          <w:color w:val="000000"/>
          <w:sz w:val="22"/>
          <w:szCs w:val="22"/>
        </w:rPr>
        <w:t xml:space="preserve">Article 27</w:t>
      </w:r>
      <w:r>
        <w:rPr>
          <w:rFonts w:ascii="Calibri" w:cs="Calibri" w:eastAsia="Calibri" w:hAnsi="Calibri"/>
          <w:b w:val="false"/>
          <w:bCs w:val="false"/>
          <w:i w:val="false"/>
          <w:iCs w:val="false"/>
          <w:strike w:val="false"/>
          <w:color w:val="000000"/>
          <w:sz w:val="22"/>
          <w:szCs w:val="22"/>
        </w:rPr>
        <w:t xml:space="preserve"> criteria: highest professional suitability, technical competence, independence, and professional indemnity insurance</w:t>
      </w:r>
    </w:p>
    <w:p>
      <w:pPr>
        <w:pStyle w:val="Heading2"/>
        <w:spacing w:after="120" w:before="360" w:line="312" w:lineRule="auto"/>
      </w:pPr>
      <w:r>
        <w:rPr>
          <w:rFonts w:ascii="Calibri" w:cs="Calibri" w:eastAsia="Calibri" w:hAnsi="Calibri"/>
          <w:color w:val="0F1B2D"/>
          <w:sz w:val="36"/>
          <w:szCs w:val="36"/>
        </w:rPr>
        <w:t xml:space="preserve">3.2 Chaos Engineering Methodology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Chaos engineering — the discipline of experimenting on a system to build confidence in its capability to withstand turbulent conditions — is the technical backbone of this playbook's approach to DORA resilience testing. Unlike traditional testing, which validates expected behavior, chaos engineering </w:t>
      </w:r>
      <w:r>
        <w:rPr>
          <w:rFonts w:ascii="Calibri" w:cs="Calibri" w:eastAsia="Calibri" w:hAnsi="Calibri"/>
          <w:b w:val="false"/>
          <w:bCs w:val="false"/>
          <w:i/>
          <w:iCs/>
          <w:strike w:val="false"/>
          <w:color w:val="000000"/>
          <w:sz w:val="22"/>
          <w:szCs w:val="22"/>
        </w:rPr>
        <w:t xml:space="preserve">discovers unexpected behavior</w:t>
      </w:r>
      <w:r>
        <w:rPr>
          <w:rFonts w:ascii="Calibri" w:cs="Calibri" w:eastAsia="Calibri" w:hAnsi="Calibri"/>
          <w:b w:val="false"/>
          <w:bCs w:val="false"/>
          <w:i w:val="false"/>
          <w:iCs w:val="false"/>
          <w:strike w:val="false"/>
          <w:color w:val="000000"/>
          <w:sz w:val="22"/>
          <w:szCs w:val="22"/>
        </w:rPr>
        <w:t xml:space="preserve"> by introducing controlled failure into production-like environments.</w:t>
      </w:r>
    </w:p>
    <w:p>
      <w:pPr>
        <w:pStyle w:val="Heading3"/>
        <w:spacing w:after="120" w:before="240" w:line="312" w:lineRule="auto"/>
      </w:pPr>
      <w:r>
        <w:rPr>
          <w:rFonts w:ascii="Calibri" w:cs="Calibri" w:eastAsia="Calibri" w:hAnsi="Calibri"/>
          <w:color w:val="1A2A44"/>
          <w:sz w:val="28"/>
          <w:szCs w:val="28"/>
        </w:rPr>
        <w:t xml:space="preserve">Core Principles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Define Steady State:</w:t>
      </w:r>
      <w:r>
        <w:rPr>
          <w:rFonts w:ascii="Calibri" w:cs="Calibri" w:eastAsia="Calibri" w:hAnsi="Calibri"/>
          <w:b w:val="false"/>
          <w:bCs w:val="false"/>
          <w:i w:val="false"/>
          <w:iCs w:val="false"/>
          <w:strike w:val="false"/>
          <w:color w:val="000000"/>
          <w:sz w:val="22"/>
          <w:szCs w:val="22"/>
        </w:rPr>
        <w:t xml:space="preserve"> Establish measurable indicators of normal system behavior (transaction throughput, latency, error rates). The steady-state hypothesis states: "Under these conditions, the system will maintain these metrics within defined tolerances."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Introduce Controlled Failures:</w:t>
      </w:r>
      <w:r>
        <w:rPr>
          <w:rFonts w:ascii="Calibri" w:cs="Calibri" w:eastAsia="Calibri" w:hAnsi="Calibri"/>
          <w:b w:val="false"/>
          <w:bCs w:val="false"/>
          <w:i w:val="false"/>
          <w:iCs w:val="false"/>
          <w:strike w:val="false"/>
          <w:color w:val="000000"/>
          <w:sz w:val="22"/>
          <w:szCs w:val="22"/>
        </w:rPr>
        <w:t xml:space="preserve"> Inject realistic failure conditions — server crashes, network partitions, dependency outages, resource exhaustion — in a controlled manner.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Observe and Learn:</w:t>
      </w:r>
      <w:r>
        <w:rPr>
          <w:rFonts w:ascii="Calibri" w:cs="Calibri" w:eastAsia="Calibri" w:hAnsi="Calibri"/>
          <w:b w:val="false"/>
          <w:bCs w:val="false"/>
          <w:i w:val="false"/>
          <w:iCs w:val="false"/>
          <w:strike w:val="false"/>
          <w:color w:val="000000"/>
          <w:sz w:val="22"/>
          <w:szCs w:val="22"/>
        </w:rPr>
        <w:t xml:space="preserve"> Monitor system behavior during and after fault injection. Compare observed behavior to steady-state hypothesis. Document deviations.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Minimize Blast Radius:</w:t>
      </w:r>
      <w:r>
        <w:rPr>
          <w:rFonts w:ascii="Calibri" w:cs="Calibri" w:eastAsia="Calibri" w:hAnsi="Calibri"/>
          <w:b w:val="false"/>
          <w:bCs w:val="false"/>
          <w:i w:val="false"/>
          <w:iCs w:val="false"/>
          <w:strike w:val="false"/>
          <w:color w:val="000000"/>
          <w:sz w:val="22"/>
          <w:szCs w:val="22"/>
        </w:rPr>
        <w:t xml:space="preserve"> Start with the smallest possible scope. Expand incrementally as confidence grows. Always have a kill switch to abort the experiment immediately.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Automate and Repeat:</w:t>
      </w:r>
      <w:r>
        <w:rPr>
          <w:rFonts w:ascii="Calibri" w:cs="Calibri" w:eastAsia="Calibri" w:hAnsi="Calibri"/>
          <w:b w:val="false"/>
          <w:bCs w:val="false"/>
          <w:i w:val="false"/>
          <w:iCs w:val="false"/>
          <w:strike w:val="false"/>
          <w:color w:val="000000"/>
          <w:sz w:val="22"/>
          <w:szCs w:val="22"/>
        </w:rPr>
        <w:t xml:space="preserve"> Encode experiments as automated, repeatable tests. Integrate into CI/CD pipelines and regular testing schedules.</w:t>
      </w:r>
    </w:p>
    <w:p>
      <w:pPr>
        <w:pStyle w:val="Heading3"/>
        <w:spacing w:after="120" w:before="240" w:line="312" w:lineRule="auto"/>
      </w:pPr>
      <w:r>
        <w:rPr>
          <w:rFonts w:ascii="Calibri" w:cs="Calibri" w:eastAsia="Calibri" w:hAnsi="Calibri"/>
          <w:color w:val="1A2A44"/>
          <w:sz w:val="28"/>
          <w:szCs w:val="28"/>
        </w:rPr>
        <w:t xml:space="preserve">Game Day Protocol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Phase</w:t>
            </w:r>
          </w:p>
        </w:tc>
        <w:tc>
          <w:tcPr>
            <w:tcW w:type="pct" w:w="5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Activities</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Duration</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Participants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Planning</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 hypothesis, select failure mode, identify metrics, set blast radius, prepare rollback procedures, notify stakeholders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weeks prior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Chaos Engineering Lead, SRE, Platform Team</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Briefing</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Walk through experiment plan, confirm monitoring readiness, verify kill switch, brief incident response team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minutes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participants + SOC on standby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 steady state, inject fault, monitor real-time dashboards, document observations, activate kill switch if needed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 – 4 hours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Chaos Engineering Lead, SRE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Observation</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Post-injection monitoring period — verify system recovery, confirm steady-state restoration, collect telemetry data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 – 2 hours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SRE, Platform Team</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Debrief</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results vs. hypothesis, document findings, identify remediation actions, update resilience backlog, share learnings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participants + Engineering Leadership</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3.3 Resilience Test Catalog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 ID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 Name</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Category</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 System</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Failure Mode</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Expected Behavior</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RTO Target</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Success Criteria</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database failover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PostgreSQL primary cluster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node termination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 promotion of replica to primary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completes &lt;15 min, zero data loss, transactions resume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 region evacuation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cloud region (eu-west-1)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region outage simulation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Traffic routes to secondary region (eu-central-1)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critical services operational in DR region within 60 min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gateway saturation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Kong API Gateway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10x normal traffic volume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Rate limiting activates, graceful degradation, no crash</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sec</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Non-critical endpoints shed load; critical endpoints maintain &lt;200ms latency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poisoning simulation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DNS infrastructure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Rogue DNS responses injected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DNSSEC validation rejects poisoned responses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Poisoned responses detected and blocked within 5 min; alert generated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encryption simulation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File server (isolated test segment)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encryption of file shares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EDR detects and contains; recovery from immutable backup</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 &lt;5 min, containment &lt;15 min, full recovery from clean backup &lt;4 hrs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vendor API failure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Payment gateway API (external)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API returns 503 for all requests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Circuit breaker activates; failover to secondary provider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to secondary payment gateway within 10 min; transaction queue preserved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Volumetric DDoS simulation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Public-facing web application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Gbps volumetric DDoS attack</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DDoS mitigation scrubs traffic; legitimate users unaffected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Mitigation engages &lt;3 min; availability maintained &gt;99%</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certificate expiry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Customer-facing portal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set to expire (test environment)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renewal triggers before expiry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min (preventive)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renewed ≥24 hrs before expiry; no user impact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CT-009</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corruption detection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Transaction database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Injected checksum mismatch in subset of records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Integrity monitoring detects corruption; alerts generated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Corruption detected within 10 min; affected records quarantined; clean data restored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Insider sabotage simulation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 Process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Privileged admin account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unauthorized bulk deletion command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PAM policy blocks action; SIEM alert fires; session recorded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Action blocked by PAM control; alert within 1 min; session evidence preserved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CT-011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center power loss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data center UPS/generator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utility power failure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UPS sustains load; generator starts within 30s; no service interruption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min (transparent)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service interruption; generator sustains load for ≥4 hrs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CT-012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Communication channel failure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 Process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communication platform (Teams)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Platform becomes unavailable during simulated incident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switch to secondary channel (encrypted email), then tertiary (satellite phone for leadership)</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Crisis communication established via secondary channel within 15 min; all key personnel reachable</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3.4 Chaos Engineering Execution Logs</w:t>
      </w:r>
    </w:p>
    <w:p>
      <w:pPr>
        <w:pStyle w:val="Heading3"/>
        <w:spacing w:after="120" w:before="240" w:line="312" w:lineRule="auto"/>
      </w:pPr>
      <w:r>
        <w:rPr>
          <w:rFonts w:ascii="Calibri" w:cs="Calibri" w:eastAsia="Calibri" w:hAnsi="Calibri"/>
          <w:color w:val="1A2A44"/>
          <w:sz w:val="28"/>
          <w:szCs w:val="28"/>
        </w:rPr>
        <w:t xml:space="preserve">Test Execution 1: CT-001 — Primary Database Failover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Field</w:t>
            </w:r>
          </w:p>
        </w:tc>
        <w:tc>
          <w:tcPr>
            <w:tcW w:type="pct" w:w="8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CT-001</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Date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2026-01-22, 14:00 UTC</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Staging (production-equivalent)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47 minutes (including observation period)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Steady-State Confirmed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transaction throughput 1,240 TPS, latency p95 = 45ms, error rate 0.01%</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Fault Injected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PostgreSQL node terminated via process kill (SIGKILL)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 Behavior</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Patroni cluster manager detected failure in 8 seconds. Replica promotion initiated at T+10s. Promotion completed at T+22s. Connection pool drained and reconnected at T+35s. Full steady state restored at T+52s. Zero committed transactions lost.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 Achieved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52 seconds (target: 15 min)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 Achieved</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seconds (synchronous replication)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Pass/Fail</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significantly faster than RTO target. Connection pool reconnection was the longest phase — consider pre-warming standby connections.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 Actions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connection pool pre-warming for standby replica (enhancement, not deficiency).</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Execution 2: CT-005 — Ransomware Encryption Simulation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Field</w:t>
            </w:r>
          </w:p>
        </w:tc>
        <w:tc>
          <w:tcPr>
            <w:tcW w:type="pct" w:w="8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CT-005</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Date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2026-02-12, 09:00 UTC</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Isolated test segment (production-representative data set)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 38 minutes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Steady-State Confirmed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file server accessible, integrity checksums validated, backup schedule current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Fault Injected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ransomware binary executed (controlled tool, no actual encryption — file rename simulation to .encrypted extension)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 Behavior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EDR detected anomalous file system activity at T+3 min 12s. Alert escalated to SOC at T+4 min. SOC analyst confirmed ransomware indicators at T+8 min. Network isolation of affected segment triggered at T+11 min. Recovery from immutable backup initiated at T+45 min. Full file restoration completed at T+3h 22 min. Integrity validation completed at T+4h 10 min.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 Achieved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 22 minutes (target: 4 hours)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 Achieved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47 minutes (last backup was 47 minutes prior — target RPO: 1 hour)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Pass/Fail</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 and containment within targets. Recovery time acceptable but could be improved with parallelized file restoration. SOC response effective.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 Actions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parallel restore streams for large file shares. Create pre-staged recovery scripts for common ransomware scenarios.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Execution 3: CT-006 — Critical Vendor API Failure (Pass with Observations)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Field</w:t>
            </w:r>
          </w:p>
        </w:tc>
        <w:tc>
          <w:tcPr>
            <w:tcW w:type="pct" w:w="8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CT-006</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Date</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2026-03-05, 11:00 UTC</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Staging with production traffic replay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 15 minutes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Steady-State Confirmed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payment processing rate 850 TPS, success rate 99.97%, latency p95 = 120ms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Fault Injected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payment gateway API configured to return HTTP 503 for all requests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 Behavior</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Circuit breaker tripped at T+45s after 3 consecutive failures. Failover to secondary payment gateway initiated at T+50s. Secondary gateway accepted traffic at T+1 min 30s. However, 23 transactions in the queue during the 45-second detection window returned errors to callers. Transaction queue was not preserved during the circuit breaker transition — transactions were dropped rather than queued.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 Achieved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minute 30 seconds (target: 10 min)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 Achieved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(stateless transactions)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Pass/Fail</w:t>
            </w:r>
          </w:p>
        </w:tc>
        <w:tc>
          <w:tcPr>
            <w:tcW w:type="pct" w:w="8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 WITH OBSERVATIONS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time well within target. However, 23 in-flight transactions were dropped during the circuit breaker transition window. The circuit breaker implementation lacks a queue buffer for in-flight requests.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 Actions</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a transient request queue (30-second buffer) in the circuit breaker to hold in-flight transactions during failover. Retest scheduled for 2026-04-15.</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Execution 4: CT-002 — Cloud Region Evacuation (Initial Failure + Retest)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Field</w:t>
            </w:r>
          </w:p>
        </w:tc>
        <w:tc>
          <w:tcPr>
            <w:tcW w:type="pct" w:w="8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CT-002 (Initial Attempt)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Date</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2026-03-19, 06:00 UTC</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Staging multi-region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 45 minutes (test aborted)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Steady-State Confirmed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 — all services operational in eu-west-1</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Fault Injected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full region failure of eu-west-1 (DNS failover + load balancer reconfiguration)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 Behavior</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failover triggered correctly at T+2 min. Load balancer rerouted traffic to eu-central-1 at T+5 min. However, the authentication service in eu-central-1 failed to start due to a configuration drift — the OAuth2 client secret in the DR region referenced an expired credential rotated 3 months prior. Users could not authenticate. Core transaction processing recovered at T+18 min, but customer-facing channels were inaccessible. Kill switch activated at T+2h 15 min.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 Achieved</w:t>
            </w:r>
          </w:p>
        </w:tc>
        <w:tc>
          <w:tcPr>
            <w:tcW w:type="pct" w:w="8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FAILED</w:t>
            </w:r>
            <w:r>
              <w:rPr>
                <w:rFonts w:ascii="Calibri" w:cs="Calibri" w:eastAsia="Calibri" w:hAnsi="Calibri"/>
                <w:b w:val="false"/>
                <w:bCs w:val="false"/>
                <w:i w:val="false"/>
                <w:iCs w:val="false"/>
                <w:strike w:val="false"/>
                <w:color w:val="000000"/>
                <w:sz w:val="22"/>
                <w:szCs w:val="22"/>
              </w:rPr>
              <w:t xml:space="preserve"> — Authentication service not recovered within 60-minute target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 Achieved</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minutes (asynchronous replication lag — within target)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Pass/Fail</w:t>
            </w:r>
          </w:p>
        </w:tc>
        <w:tc>
          <w:tcPr>
            <w:tcW w:type="pct" w:w="8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w:t>
            </w:r>
          </w:p>
        </w:tc>
        <w:tc>
          <w:tcPr>
            <w:tcW w:type="pct" w:w="8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Critical:</w:t>
            </w:r>
            <w:r>
              <w:rPr>
                <w:rFonts w:ascii="Calibri" w:cs="Calibri" w:eastAsia="Calibri" w:hAnsi="Calibri"/>
                <w:b w:val="false"/>
                <w:bCs w:val="false"/>
                <w:i w:val="false"/>
                <w:iCs w:val="false"/>
                <w:strike w:val="false"/>
                <w:color w:val="000000"/>
                <w:sz w:val="22"/>
                <w:szCs w:val="22"/>
              </w:rPr>
              <w:t xml:space="preserve"> Configuration drift between primary and DR regions for secret management. The automated credential rotation in eu-west-1 did not propagate to eu-central-1. Single point of failure for authentication.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 Actions</w:t>
            </w:r>
          </w:p>
        </w:tc>
        <w:tc>
          <w:tcPr>
            <w:tcW w:type="pct" w:w="8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Implement centralized secrets manager (HashiCorp Vault) with cross-region replication. 2. Add DR configuration parity check to weekly automated validation. 3. Retest scheduled for 2026-04-09.</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Field</w:t>
            </w:r>
          </w:p>
        </w:tc>
        <w:tc>
          <w:tcPr>
            <w:tcW w:type="pct" w:w="8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ID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CT-002 (Retest)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 Date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2026-04-09, 06:00 UTC</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Staging multi-region (post-remediation)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 25 minutes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Fault Injected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Same as initial — full region failure simulation of eu-west-1</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Observed Behavior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failover at T+2 min. Load balancer rerouted at T+5 min. All services including authentication operational in eu-central-1 at T+23 min. Centralized secrets manager provided consistent credentials across regions. Steady state fully restored at T+28 min. Configuration parity check confirmed prior to test.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 Achieved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28 minutes (target: 60 min)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 Achieved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minute 48 seconds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Pass/Fail</w:t>
            </w:r>
          </w:p>
        </w:tc>
        <w:tc>
          <w:tcPr>
            <w:tcW w:type="pct" w:w="8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Findings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Remediation effective. Centralized secrets management eliminated configuration drift. All services recovered well within target.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Remediation Actions</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required. Add CT-002 to quarterly automated regression testing.</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3.5 Automated Recovery Test Results</w:t>
      </w:r>
    </w:p>
    <w:p>
      <w:pPr>
        <w:pStyle w:val="Heading3"/>
        <w:spacing w:after="120" w:before="240" w:line="312" w:lineRule="auto"/>
      </w:pPr>
      <w:r>
        <w:rPr>
          <w:rFonts w:ascii="Calibri" w:cs="Calibri" w:eastAsia="Calibri" w:hAnsi="Calibri"/>
          <w:color w:val="1A2A44"/>
          <w:sz w:val="28"/>
          <w:szCs w:val="28"/>
        </w:rPr>
        <w:t xml:space="preserve">Test ART-001: Automated Database Failover Recovery</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Primary database becomes unresponsive. Automated monitoring detects failure and triggers replica promotion and application reconnection.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Patroni + custom health-check script (patroni_failover_monitor.py)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Synchronous replication active, replica within 0 LSN lag, health check interval 5s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Primary health check fails 3 consecutive times (15s)</w:t>
      </w:r>
    </w:p>
    <w:p>
      <w:pPr>
        <w:spacing w:after="120" w:before="60" w:line="360" w:lineRule="auto"/>
      </w:pPr>
      <w:r>
        <w:rPr>
          <w:rFonts w:ascii="Calibri" w:cs="Calibri" w:eastAsia="Calibri" w:hAnsi="Calibri"/>
          <w:b/>
          <w:bCs/>
          <w:i w:val="false"/>
          <w:iCs w:val="false"/>
          <w:strike w:val="false"/>
          <w:color w:val="000000"/>
          <w:sz w:val="22"/>
          <w:szCs w:val="22"/>
        </w:rPr>
        <w:t xml:space="preserve">Recovery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T+0s: Health check failure detected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T+15s: Failover initiated by Patroni</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T+22s: Replica promoted to primary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T+25s: DNS record updated to new primary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T+30s: Application connection pools refreshed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T+35s: Transaction processing resumed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T+60s: Verification — transaction commit success rate validated at 100%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3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RTO</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15 min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 seconds</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RPO</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(synchronous)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Integrity</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checksum match</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Transaction Loss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ART-002: Automated Backup Restoration</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Data corruption detected in production database. Automated workflow restores from last verified immutable backup.</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Custom restore orchestrator (restore_orchestrator.sh) + pgBackRest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Hourly incremental backups, daily full backups, backup integrity verified nightly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Integrity monitoring detects checksum mismatch on ≥3 records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2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3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RTO</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 hours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hour 12 min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RPO</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1 hour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38 min (last incremental backup)</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Integrity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post-restore checksum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Application Reconnection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 (pool refresh at T+1h 14min)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ART-003: Automated Network Failover (SD-WAN)</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Primary WAN link failure. SD-WAN controller automatically reroutes traffic to secondary path.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SD-WAN controller automated path selection + monitoring integration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Dual WAN links active, SD-WAN health probes running at 5s intervals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Primary link health probe fails 3 consecutive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3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2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Time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30 seconds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seconds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Packet Loss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0.1% during failover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0.04%</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Bandwidth on Secondary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80% of primary capacity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85%</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Impact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Transparent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user-reported issues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ART-004: Automated Container Orchestration Recovery</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Critical microservice pod crashes repeatedly (CrashLoopBackOff). Kubernetes self-healing restarts and reschedules.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Kubernetes liveness/readiness probes + HPA + PDB</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Minimum 3 replicas, PodDisruptionBudget minAvailable=2, HPA configured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Liveness probe failure × 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2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3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Pod Recovery Time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60 seconds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28 seconds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Service Availability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99.9% during event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(healthy replicas served traffic)</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Error Rate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0.5% spike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0.12% spike (2 seconds)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Auto-scaling Response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Scale-up within 2 min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Scaled to 4 replicas at T+45s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ART-005: Automated Certificate Renewal</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TLS certificate approaching expiry (30-day window). Cert-manager automatically renews via ACME protocol.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cert-manager + Let's Encrypt ACME (simulated internal CA for test)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Certificate expiry set to T+29 days, renewal threshold 30 days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Certificate validity remaining &lt; renewal threshold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3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3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Renewal Lead Time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24 hours before expiry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29 days before expiry</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Downtime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Validation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 chain, correct SAN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Verified</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Monitoring Alert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Informational alert generated</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Alert generated at renewal time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Test ART-006: Automated Log Pipeline Failover</w:t>
      </w:r>
    </w:p>
    <w:p>
      <w:pPr>
        <w:spacing w:after="120" w:before="60" w:line="360" w:lineRule="auto"/>
      </w:pPr>
      <w:r>
        <w:rPr>
          <w:rFonts w:ascii="Calibri" w:cs="Calibri" w:eastAsia="Calibri" w:hAnsi="Calibri"/>
          <w:b/>
          <w:bCs/>
          <w:i w:val="false"/>
          <w:iCs w:val="false"/>
          <w:strike w:val="false"/>
          <w:color w:val="000000"/>
          <w:sz w:val="22"/>
          <w:szCs w:val="22"/>
        </w:rPr>
        <w:t xml:space="preserve">Scenario:</w:t>
      </w:r>
      <w:r>
        <w:rPr>
          <w:rFonts w:ascii="Calibri" w:cs="Calibri" w:eastAsia="Calibri" w:hAnsi="Calibri"/>
          <w:b w:val="false"/>
          <w:bCs w:val="false"/>
          <w:i w:val="false"/>
          <w:iCs w:val="false"/>
          <w:strike w:val="false"/>
          <w:color w:val="000000"/>
          <w:sz w:val="22"/>
          <w:szCs w:val="22"/>
        </w:rPr>
        <w:t xml:space="preserve"> Primary SIEM log ingestion pipeline becomes unavailable. Automated failover to buffer and secondary pipeline.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Automation Tool:</w:t>
      </w:r>
      <w:r>
        <w:rPr>
          <w:rFonts w:ascii="Calibri" w:cs="Calibri" w:eastAsia="Calibri" w:hAnsi="Calibri"/>
          <w:b w:val="false"/>
          <w:bCs w:val="false"/>
          <w:i w:val="false"/>
          <w:iCs w:val="false"/>
          <w:strike w:val="false"/>
          <w:color w:val="000000"/>
          <w:sz w:val="22"/>
          <w:szCs w:val="22"/>
        </w:rPr>
        <w:t xml:space="preserve"> Kafka-based log buffer + secondary SIEM ingestion endpoint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Pre-conditions:</w:t>
      </w:r>
      <w:r>
        <w:rPr>
          <w:rFonts w:ascii="Calibri" w:cs="Calibri" w:eastAsia="Calibri" w:hAnsi="Calibri"/>
          <w:b w:val="false"/>
          <w:bCs w:val="false"/>
          <w:i w:val="false"/>
          <w:iCs w:val="false"/>
          <w:strike w:val="false"/>
          <w:color w:val="000000"/>
          <w:sz w:val="22"/>
          <w:szCs w:val="22"/>
        </w:rPr>
        <w:t xml:space="preserve"> Kafka buffer configured with 24-hour retention, secondary SIEM endpoint active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Primary SIEM ingestion health check failure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2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4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Achieved</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Time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5 minutes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minutes 15 seconds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Loss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events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events (buffered in Kafka)</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 Capability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gap in detection coverage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Secondary SIEM processing all rules within 3 min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Buffer Drain Time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30 min after primary restored</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 minutes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Automated Recovery Test Summary Dashboard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 ID</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 Name</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RTO Target</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RTO Achieved</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RPO Target</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RPO Achieved</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Result</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ART-001</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Database Failover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 sec</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ART-002</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Restoration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1h 12m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38 min</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ART-003</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Failover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sec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sec</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ART-004</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Container Recovery</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60 sec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28 sec</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ART-005</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Certificate Renewal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Preventive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29d early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r>
        <w:trPr>
          <w:tblHeader w:val="false"/>
        </w:trPr>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ART-006</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Pipeline Failover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min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2m 15s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events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events</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3.6 Case Study: Chaos Engineering Program for a Digital Banking Platform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A44" w:sz="6"/>
              <w:left w:val="single" w:color="1A2A44" w:sz="6"/>
              <w:bottom w:val="single" w:color="1A2A44" w:sz="6"/>
              <w:right w:val="single" w:color="1A2A44"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1B2D"/>
                <w:sz w:val="22"/>
                <w:szCs w:val="22"/>
              </w:rPr>
              <w:t xml:space="preserve">Case Study Context</w:t>
            </w:r>
          </w:p>
          <w:p>
            <w:pPr>
              <w:spacing w:after="120" w:line="360" w:lineRule="auto"/>
            </w:pPr>
            <w:r>
              <w:rPr>
                <w:rFonts w:ascii="Calibri" w:cs="Calibri" w:eastAsia="Calibri" w:hAnsi="Calibri"/>
                <w:b/>
                <w:bCs/>
                <w:i w:val="false"/>
                <w:iCs w:val="false"/>
                <w:strike w:val="false"/>
                <w:color w:val="000000"/>
                <w:sz w:val="22"/>
                <w:szCs w:val="22"/>
              </w:rPr>
              <w:t xml:space="preserve">Entity:</w:t>
            </w:r>
            <w:r>
              <w:rPr>
                <w:rFonts w:ascii="Calibri" w:cs="Calibri" w:eastAsia="Calibri" w:hAnsi="Calibri"/>
                <w:b w:val="false"/>
                <w:bCs w:val="false"/>
                <w:i w:val="false"/>
                <w:iCs w:val="false"/>
                <w:strike w:val="false"/>
                <w:color w:val="000000"/>
                <w:sz w:val="22"/>
                <w:szCs w:val="22"/>
              </w:rPr>
              <w:t xml:space="preserve"> HelixBank Digital (fictional) — Cloud-native digital bank, DORA-regulated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Comprehensive chaos engineering program covering 15 critical functions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Period:</w:t>
            </w:r>
            <w:r>
              <w:rPr>
                <w:rFonts w:ascii="Calibri" w:cs="Calibri" w:eastAsia="Calibri" w:hAnsi="Calibri"/>
                <w:b w:val="false"/>
                <w:bCs w:val="false"/>
                <w:i w:val="false"/>
                <w:iCs w:val="false"/>
                <w:strike w:val="false"/>
                <w:color w:val="000000"/>
                <w:sz w:val="22"/>
                <w:szCs w:val="22"/>
              </w:rPr>
              <w:t xml:space="preserve"> October 2025 – March 2026 (6 months)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Background:</w:t>
      </w:r>
      <w:r>
        <w:rPr>
          <w:rFonts w:ascii="Calibri" w:cs="Calibri" w:eastAsia="Calibri" w:hAnsi="Calibri"/>
          <w:b w:val="false"/>
          <w:bCs w:val="false"/>
          <w:i w:val="false"/>
          <w:iCs w:val="false"/>
          <w:strike w:val="false"/>
          <w:color w:val="000000"/>
          <w:sz w:val="22"/>
          <w:szCs w:val="22"/>
        </w:rPr>
        <w:t xml:space="preserve"> HelixBank Digital is a fully cloud-native digital bank serving 2.3 million customers across the EU. Operating entirely on public cloud infrastructure across two regions (eu-west-1 and eu-central-1), HelixBank had invested heavily in modern architecture — microservices, Kubernetes, event-driven processing — but had never subjected its infrastructure to structured failure injection testing. With DORA's testing requirements effective, HelixBank needed a comprehensive resilience testing program.</w:t>
      </w:r>
    </w:p>
    <w:p>
      <w:pPr>
        <w:pStyle w:val="Heading3"/>
        <w:spacing w:after="120" w:before="240" w:line="312" w:lineRule="auto"/>
      </w:pPr>
      <w:r>
        <w:rPr>
          <w:rFonts w:ascii="Calibri" w:cs="Calibri" w:eastAsia="Calibri" w:hAnsi="Calibri"/>
          <w:color w:val="1A2A44"/>
          <w:sz w:val="28"/>
          <w:szCs w:val="28"/>
        </w:rPr>
        <w:t xml:space="preserve">Program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chaos engineering program was designed in three phases: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1 — Foundation (Oct–Nov 2025):</w:t>
      </w:r>
      <w:r>
        <w:rPr>
          <w:rFonts w:ascii="Calibri" w:cs="Calibri" w:eastAsia="Calibri" w:hAnsi="Calibri"/>
          <w:b w:val="false"/>
          <w:bCs w:val="false"/>
          <w:i w:val="false"/>
          <w:iCs w:val="false"/>
          <w:strike w:val="false"/>
          <w:color w:val="000000"/>
          <w:sz w:val="22"/>
          <w:szCs w:val="22"/>
        </w:rPr>
        <w:t xml:space="preserve"> Steady-state definition for all 15 critical functions. Observability instrumentation validation. Blast radius controls and kill switch implementation. Team training on chaos engineering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2 — Progressive Testing (Dec 2025–Feb 2026):</w:t>
      </w:r>
      <w:r>
        <w:rPr>
          <w:rFonts w:ascii="Calibri" w:cs="Calibri" w:eastAsia="Calibri" w:hAnsi="Calibri"/>
          <w:b w:val="false"/>
          <w:bCs w:val="false"/>
          <w:i w:val="false"/>
          <w:iCs w:val="false"/>
          <w:strike w:val="false"/>
          <w:color w:val="000000"/>
          <w:sz w:val="22"/>
          <w:szCs w:val="22"/>
        </w:rPr>
        <w:t xml:space="preserve"> Execution of 28 chaos experiments across infrastructure, application, network, and third-party categories. Game Days with cross-functional participation. Progressive increase in blast radius from component-level to region-level.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Phase 3 — Validation &amp; Integration (Mar 2026):</w:t>
      </w:r>
      <w:r>
        <w:rPr>
          <w:rFonts w:ascii="Calibri" w:cs="Calibri" w:eastAsia="Calibri" w:hAnsi="Calibri"/>
          <w:b w:val="false"/>
          <w:bCs w:val="false"/>
          <w:i w:val="false"/>
          <w:iCs w:val="false"/>
          <w:strike w:val="false"/>
          <w:color w:val="000000"/>
          <w:sz w:val="22"/>
          <w:szCs w:val="22"/>
        </w:rPr>
        <w:t xml:space="preserve"> Remediation verification through retesting. Integration of chaos experiments into CI/CD pipeline as automated regression tests. Documentation and regulatory evidence package preparation.</w:t>
      </w:r>
    </w:p>
    <w:p>
      <w:pPr>
        <w:pStyle w:val="Heading3"/>
        <w:spacing w:after="120" w:before="240" w:line="312" w:lineRule="auto"/>
      </w:pPr>
      <w:r>
        <w:rPr>
          <w:rFonts w:ascii="Calibri" w:cs="Calibri" w:eastAsia="Calibri" w:hAnsi="Calibri"/>
          <w:color w:val="1A2A44"/>
          <w:sz w:val="28"/>
          <w:szCs w:val="28"/>
        </w:rPr>
        <w:t xml:space="preserve">Critical Discovery: Payment Processing Single Point of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most significant finding emerged during a Game Day in January 2026 (Experiment #14: Message Queue Failure). When the primary RabbitMQ cluster processing payment transaction events was terminated, the payment processing pipeline halted completely. While the architecture diagram showed a "highly available" message queue configuration, investigation revealed: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RabbitMQ cluster was configured with quorum queues, but the payment processing queue had been inadvertently created as a classic mirrored queue with only a single mirror — effectively providing no redundancy.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consumer application had no dead-letter queue configuration for failed messages, meaning any messages in transit during the failure were permanently lost.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monitoring system checked only queue depth, not queue type or replication status — the misconfiguration had existed for 14 months undetected.</w:t>
      </w:r>
    </w:p>
    <w:p>
      <w:pPr>
        <w:spacing w:after="120" w:before="60" w:line="360" w:lineRule="auto"/>
      </w:pPr>
      <w:r>
        <w:rPr>
          <w:rFonts w:ascii="Calibri" w:cs="Calibri" w:eastAsia="Calibri" w:hAnsi="Calibri"/>
          <w:b/>
          <w:bCs/>
          <w:i w:val="false"/>
          <w:iCs w:val="false"/>
          <w:strike w:val="false"/>
          <w:color w:val="000000"/>
          <w:sz w:val="22"/>
          <w:szCs w:val="22"/>
        </w:rPr>
        <w:t xml:space="preserve">Impact Assessment:</w:t>
      </w:r>
      <w:r>
        <w:rPr>
          <w:rFonts w:ascii="Calibri" w:cs="Calibri" w:eastAsia="Calibri" w:hAnsi="Calibri"/>
          <w:b w:val="false"/>
          <w:bCs w:val="false"/>
          <w:i w:val="false"/>
          <w:iCs w:val="false"/>
          <w:strike w:val="false"/>
          <w:color w:val="000000"/>
          <w:sz w:val="22"/>
          <w:szCs w:val="22"/>
        </w:rPr>
        <w:t xml:space="preserve"> If this failure had occurred in production during peak hours, an estimated 4,200 payment transactions (representing approximately €2.1 million) could have been lost with no recovery path. This constituted a material DORA compliance gap under Article 11 (Response and Recovery).</w:t>
      </w:r>
    </w:p>
    <w:p>
      <w:pPr>
        <w:spacing w:after="120" w:before="60" w:line="360" w:lineRule="auto"/>
      </w:pPr>
      <w:r>
        <w:rPr>
          <w:rFonts w:ascii="Calibri" w:cs="Calibri" w:eastAsia="Calibri" w:hAnsi="Calibri"/>
          <w:b/>
          <w:bCs/>
          <w:i w:val="false"/>
          <w:iCs w:val="false"/>
          <w:strike w:val="false"/>
          <w:color w:val="000000"/>
          <w:sz w:val="22"/>
          <w:szCs w:val="22"/>
        </w:rPr>
        <w:t xml:space="preserve">Remediation:</w:t>
      </w:r>
      <w:r>
        <w:rPr>
          <w:rFonts w:ascii="Calibri" w:cs="Calibri" w:eastAsia="Calibri" w:hAnsi="Calibri"/>
          <w:b w:val="false"/>
          <w:bCs w:val="false"/>
          <w:i w:val="false"/>
          <w:iCs w:val="false"/>
          <w:strike w:val="false"/>
          <w:color w:val="000000"/>
          <w:sz w:val="22"/>
          <w:szCs w:val="22"/>
        </w:rPr>
        <w:t xml:space="preserve"> All payment processing queues migrated to quorum queues with a replication factor of 3. Dead-letter queue configured for all critical queues. Monitoring enhanced to validate queue type, replication status, and consumer lag. Retest on February 12 confirmed full redundancy — queue failover completed in 3 seconds with zero message loss.</w:t>
      </w:r>
    </w:p>
    <w:p>
      <w:pPr>
        <w:pStyle w:val="Heading3"/>
        <w:spacing w:after="120" w:before="240" w:line="312" w:lineRule="auto"/>
      </w:pPr>
      <w:r>
        <w:rPr>
          <w:rFonts w:ascii="Calibri" w:cs="Calibri" w:eastAsia="Calibri" w:hAnsi="Calibri"/>
          <w:color w:val="1A2A44"/>
          <w:sz w:val="28"/>
          <w:szCs w:val="28"/>
        </w:rPr>
        <w:t xml:space="preserve">Attribution Narrative — Ssambra's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A44"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HelixBank engagement is the case study I point to when explaining why chaos engineering is not optional for DORA compliance — it is essential. Traditional testing validates what you expect to work. Chaos engineering reveals what you do not know is broken. The message queue finding is a textbook example: the architecture was designed correctly, the documentation showed high availability, the monitoring showed green dashboards. But the actual implementation had drifted from the design, and no one knew because no one had ever tested it by killing the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I designed the program with deliberate escalation. We started with non-critical services, built team confidence, refined our observability, and progressively increased scope. By the time we reached the payment processing experiments in January, the team was experienced enough to manage the blast radius carefully and interpret the results correctly. When the queue failure cascaded, we had the kill switch, the monitoring, and the team discipline to contain it immediately.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regulatory impact was clear: without this program, HelixBank would have filed a DORA compliance attestation claiming resilient payment processing — while carrying a single point of failure that could have caused significant financial loss and customer harm. Chaos engineering found it. That is the value proposition.</w:t>
            </w:r>
          </w:p>
          <w:p>
            <w:pPr>
              <w:spacing w:after="120" w:line="360" w:lineRule="auto"/>
              <w:jc w:val="right"/>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Ssambra</w:t>
            </w:r>
            <w:r>
              <w:rPr>
                <w:rFonts w:ascii="Calibri" w:cs="Calibri" w:eastAsia="Calibri" w:hAnsi="Calibri"/>
                <w:b w:val="false"/>
                <w:bCs w:val="false"/>
                <w:i w:val="false"/>
                <w:iCs w:val="false"/>
                <w:strike w:val="false"/>
                <w:color w:val="000000"/>
                <w:sz w:val="22"/>
                <w:szCs w:val="22"/>
              </w:rPr>
              <w:t xml:space="preserve">, Identity Auditor &amp; Threat Sentinel</w:t>
            </w:r>
          </w:p>
        </w:tc>
      </w:tr>
    </w:tbl>
    <w:p>
      <w:pPr>
        <w:spacing w:after="24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Master Playbook 4: Remote-First Business Continuity &amp; Automated Recovery Architecture</w:t>
      </w:r>
    </w:p>
    <w:p>
      <w:pPr>
        <w:pStyle w:val="Heading2"/>
        <w:spacing w:after="120" w:before="360" w:line="312" w:lineRule="auto"/>
      </w:pPr>
      <w:r>
        <w:rPr>
          <w:rFonts w:ascii="Calibri" w:cs="Calibri" w:eastAsia="Calibri" w:hAnsi="Calibri"/>
          <w:color w:val="0F1B2D"/>
          <w:sz w:val="36"/>
          <w:szCs w:val="36"/>
        </w:rPr>
        <w:t xml:space="preserve">4.1 Remote-First BCP Design Philosophy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playbook's business continuity architecture is built on a fundamental premise: </w:t>
      </w:r>
      <w:r>
        <w:rPr>
          <w:rFonts w:ascii="Calibri" w:cs="Calibri" w:eastAsia="Calibri" w:hAnsi="Calibri"/>
          <w:b/>
          <w:bCs/>
          <w:i w:val="false"/>
          <w:iCs w:val="false"/>
          <w:strike w:val="false"/>
          <w:color w:val="000000"/>
          <w:sz w:val="22"/>
          <w:szCs w:val="22"/>
        </w:rPr>
        <w:t xml:space="preserve">if the system requires physical presence to recover, it is not resilient enough</w:t>
      </w:r>
      <w:r>
        <w:rPr>
          <w:rFonts w:ascii="Calibri" w:cs="Calibri" w:eastAsia="Calibri" w:hAnsi="Calibri"/>
          <w:b w:val="false"/>
          <w:bCs w:val="false"/>
          <w:i w:val="false"/>
          <w:iCs w:val="false"/>
          <w:strike w:val="false"/>
          <w:color w:val="000000"/>
          <w:sz w:val="22"/>
          <w:szCs w:val="22"/>
        </w:rPr>
        <w:t xml:space="preserve">. The remote-first BCP design philosophy ensures that all recovery operations — from automated failover to crisis management decision-making — can be executed by distributed teams without geographic co-location requirements.</w:t>
      </w:r>
    </w:p>
    <w:p>
      <w:pPr>
        <w:pStyle w:val="Heading3"/>
        <w:spacing w:after="120" w:before="240" w:line="312" w:lineRule="auto"/>
      </w:pPr>
      <w:r>
        <w:rPr>
          <w:rFonts w:ascii="Calibri" w:cs="Calibri" w:eastAsia="Calibri" w:hAnsi="Calibri"/>
          <w:color w:val="1A2A44"/>
          <w:sz w:val="28"/>
          <w:szCs w:val="28"/>
        </w:rPr>
        <w:t xml:space="preserve">Architectural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Distributed-by-Default:</w:t>
      </w:r>
      <w:r>
        <w:rPr>
          <w:rFonts w:ascii="Calibri" w:cs="Calibri" w:eastAsia="Calibri" w:hAnsi="Calibri"/>
          <w:b w:val="false"/>
          <w:bCs w:val="false"/>
          <w:i w:val="false"/>
          <w:iCs w:val="false"/>
          <w:strike w:val="false"/>
          <w:color w:val="000000"/>
          <w:sz w:val="22"/>
          <w:szCs w:val="22"/>
        </w:rPr>
        <w:t xml:space="preserve"> No single geographic location is required for recovery operations. All critical systems operate across multiple regions. Recovery can be initiated from any authorized location.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Zero-Trust Network Architecture:</w:t>
      </w:r>
      <w:r>
        <w:rPr>
          <w:rFonts w:ascii="Calibri" w:cs="Calibri" w:eastAsia="Calibri" w:hAnsi="Calibri"/>
          <w:b w:val="false"/>
          <w:bCs w:val="false"/>
          <w:i w:val="false"/>
          <w:iCs w:val="false"/>
          <w:strike w:val="false"/>
          <w:color w:val="000000"/>
          <w:sz w:val="22"/>
          <w:szCs w:val="22"/>
        </w:rPr>
        <w:t xml:space="preserve"> All recovery operations authenticate and authorize every access request regardless of network origin. No implicit trust based on network location. Microsegmentation isolates recovery environments.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Asynchronous Communication Protocols:</w:t>
      </w:r>
      <w:r>
        <w:rPr>
          <w:rFonts w:ascii="Calibri" w:cs="Calibri" w:eastAsia="Calibri" w:hAnsi="Calibri"/>
          <w:b w:val="false"/>
          <w:bCs w:val="false"/>
          <w:i w:val="false"/>
          <w:iCs w:val="false"/>
          <w:strike w:val="false"/>
          <w:color w:val="000000"/>
          <w:sz w:val="22"/>
          <w:szCs w:val="22"/>
        </w:rPr>
        <w:t xml:space="preserve"> Crisis management does not depend on real-time communication. Decision trees are pre-defined. Automated workflows execute without human synchronization. Status updates are push-based.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Cloud-Native Resilience Patterns:</w:t>
      </w:r>
      <w:r>
        <w:rPr>
          <w:rFonts w:ascii="Calibri" w:cs="Calibri" w:eastAsia="Calibri" w:hAnsi="Calibri"/>
          <w:b w:val="false"/>
          <w:bCs w:val="false"/>
          <w:i w:val="false"/>
          <w:iCs w:val="false"/>
          <w:strike w:val="false"/>
          <w:color w:val="000000"/>
          <w:sz w:val="22"/>
          <w:szCs w:val="22"/>
        </w:rPr>
        <w:t xml:space="preserve"> Multi-region, multi-cloud deployment. Infrastructure-as-code ensures consistent recovery environments. Immutable infrastructure eliminates configuration drift.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Remote Workforce Continuity:</w:t>
      </w:r>
      <w:r>
        <w:rPr>
          <w:rFonts w:ascii="Calibri" w:cs="Calibri" w:eastAsia="Calibri" w:hAnsi="Calibri"/>
          <w:b w:val="false"/>
          <w:bCs w:val="false"/>
          <w:i w:val="false"/>
          <w:iCs w:val="false"/>
          <w:strike w:val="false"/>
          <w:color w:val="000000"/>
          <w:sz w:val="22"/>
          <w:szCs w:val="22"/>
        </w:rPr>
        <w:t xml:space="preserve"> VDI for secure access from any device. Collaboration tools with redundant providers. Digital document signing and approval workflows. No dependency on physical office infrastructure.</w:t>
      </w:r>
    </w:p>
    <w:p>
      <w:pPr>
        <w:pStyle w:val="Heading3"/>
        <w:spacing w:after="120" w:before="240" w:line="312" w:lineRule="auto"/>
      </w:pPr>
      <w:r>
        <w:rPr>
          <w:rFonts w:ascii="Calibri" w:cs="Calibri" w:eastAsia="Calibri" w:hAnsi="Calibri"/>
          <w:color w:val="1A2A44"/>
          <w:sz w:val="28"/>
          <w:szCs w:val="28"/>
        </w:rPr>
        <w:t xml:space="preserve">Regulatory Alignment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Requirement</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Regulatory Source</w:t>
            </w:r>
          </w:p>
        </w:tc>
        <w:tc>
          <w:tcPr>
            <w:tcW w:type="pct" w:w="5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Design Response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response and recovery</w:t>
            </w:r>
          </w:p>
        </w:tc>
        <w:tc>
          <w:tcPr>
            <w:tcW w:type="pct" w:w="2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DORA Article 11</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recovery playbooks with defined RTO/RPO for all critical functions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policies and procedures</w:t>
            </w:r>
          </w:p>
        </w:tc>
        <w:tc>
          <w:tcPr>
            <w:tcW w:type="pct" w:w="2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DORA Article 12</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Tiered backup strategy with immutable backups, cross-region replication, and automated verification</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&amp; crisis management</w:t>
            </w:r>
          </w:p>
        </w:tc>
        <w:tc>
          <w:tcPr>
            <w:tcW w:type="pct" w:w="22%"/>
            <w:tcMar>
              <w:top w:type="dxa" w:w="90"/>
              <w:left w:type="dxa" w:w="120"/>
              <w:bottom w:type="dxa" w:w="90"/>
              <w:right w:type="dxa" w:w="120"/>
            </w:tcMar>
          </w:tcPr>
          <w:p>
            <w:r>
              <w:rPr>
                <w:rFonts w:ascii="Calibri" w:cs="Calibri" w:eastAsia="Calibri" w:hAnsi="Calibri"/>
                <w:b w:val="false"/>
                <w:bCs w:val="false"/>
                <w:i/>
                <w:iCs/>
                <w:strike w:val="false"/>
                <w:color w:val="000000"/>
                <w:sz w:val="22"/>
                <w:szCs w:val="22"/>
              </w:rPr>
              <w:t xml:space="preserve">ENISA NIS2 Domain 4 / ISO 22301</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Comprehensive BCP with annual testing, crisis communication plan, and follow-the-sun staffing</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4.2 Business Impact Analysis (BIA)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Function</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Department</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MTD</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RTO</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RPO</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WRT</w:t>
            </w:r>
          </w:p>
        </w:tc>
        <w:tc>
          <w:tcPr>
            <w:tcW w:type="pct" w:w="2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Key Dependencies</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Priority</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Core Banking Transactions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Database cluster, payment gateway, message queue, HSM</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P1</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Authentication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provider, MFA service, directory service</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P1</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 Processing (SEPA/SWIFT)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Payment gateway, core banking, compliance engine</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P1</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Digital Channels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gateway, mobile backend, web servers, CDN</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P2</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Regulatory Reporting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16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warehouse, reporting engine, regulatory portal access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P2</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Fraud Detection &amp; Monitoring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SIEM, transaction monitoring engine, ML model serving</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P1</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Internal Communication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hr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Collaboration platform, email, VoIP</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P3</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Development &amp; Testing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Engineering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48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hrs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CI/CD pipeline, source control, test environments</w:t>
            </w:r>
          </w:p>
        </w:tc>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P4</w:t>
            </w:r>
          </w:p>
        </w:tc>
      </w:tr>
    </w:tbl>
    <w:p>
      <w:pPr>
        <w:spacing w:after="200" w:before="0"/>
      </w:pPr>
    </w:p>
    <w:p>
      <w:pPr>
        <w:spacing w:after="120" w:before="60" w:line="360" w:lineRule="auto"/>
      </w:pPr>
      <w:r>
        <w:rPr>
          <w:rFonts w:ascii="Calibri" w:cs="Calibri" w:eastAsia="Calibri" w:hAnsi="Calibri"/>
          <w:b w:val="false"/>
          <w:bCs w:val="false"/>
          <w:i/>
          <w:iCs/>
          <w:strike w:val="false"/>
          <w:color w:val="000000"/>
          <w:sz w:val="22"/>
          <w:szCs w:val="22"/>
        </w:rPr>
        <w:t xml:space="preserve">MTD = Maximum Tolerable Downtime, RTO = Recovery Time Objective, RPO = Recovery Point Objective, WRT = Work Recovery Time (time to verify and validate after technical recovery).</w:t>
      </w:r>
    </w:p>
    <w:p>
      <w:pPr>
        <w:pStyle w:val="Heading2"/>
        <w:spacing w:after="120" w:before="360" w:line="312" w:lineRule="auto"/>
      </w:pPr>
      <w:r>
        <w:rPr>
          <w:rFonts w:ascii="Calibri" w:cs="Calibri" w:eastAsia="Calibri" w:hAnsi="Calibri"/>
          <w:color w:val="0F1B2D"/>
          <w:sz w:val="36"/>
          <w:szCs w:val="36"/>
        </w:rPr>
        <w:t xml:space="preserve">4.3 Remote-First BCP Architecture</w:t>
      </w:r>
    </w:p>
    <w:p>
      <w:pPr>
        <w:pStyle w:val="Heading3"/>
        <w:spacing w:after="120" w:before="240" w:line="312" w:lineRule="auto"/>
      </w:pPr>
      <w:r>
        <w:rPr>
          <w:rFonts w:ascii="Calibri" w:cs="Calibri" w:eastAsia="Calibri" w:hAnsi="Calibri"/>
          <w:color w:val="1A2A44"/>
          <w:sz w:val="28"/>
          <w:szCs w:val="28"/>
        </w:rPr>
        <w:t xml:space="preserve">Tiered Recovery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Tier</w:t>
            </w:r>
          </w:p>
        </w:tc>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Configuration</w:t>
            </w:r>
          </w:p>
        </w:tc>
        <w:tc>
          <w:tcPr>
            <w:tcW w:type="pct" w:w="2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Systems</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Data Replication</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Failover Mode</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RTO</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1: Active-Active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Both regions serve live traffic simultaneously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transactions, authentication, fraud detection, payment processing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Synchronous (zero RPO)</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 — DNS-based with health probes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5 min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2: Active-Passive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region active; secondary on warm standby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channels, regulatory reporting, internal communication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Asynchronous (RPO ≤ 30 min)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Semi-automatic — triggered by monitoring, requires confirmation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30 min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3: Cold Standby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Infrastructure-as-code templates; deployed on demand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Development environments, archival systems, non-critical tools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Scheduled backup (daily)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Manual — infrastructure provisioned from IaC templates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24 hrs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Communication Architecture for Crisis Management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Channel</w:t>
            </w:r>
          </w:p>
        </w:tc>
        <w:tc>
          <w:tcPr>
            <w:tcW w:type="pct" w:w="2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Platform</w:t>
            </w:r>
          </w:p>
        </w:tc>
        <w:tc>
          <w:tcPr>
            <w:tcW w:type="pct" w:w="3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Use Case</w:t>
            </w:r>
          </w:p>
        </w:tc>
        <w:tc>
          <w:tcPr>
            <w:tcW w:type="pct" w:w="2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Failover Trigger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Teams (dedicated crisis channel)</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coordination, screen sharing, incident bridge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(default)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Secondary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Encrypted email (S/MIME) + Signal group</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Asynchronous updates, decision documentation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unavailable &gt; 15 min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Tertiary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Satellite phone (crisis leadership only)</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Executive decisions when all digital channels unavailable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 Secondary unavailable &gt; 30 min</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Virtual SOC — Follow-the-Sun Staffing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Remote Operations Center operates a follow-the-sun model across three time zones, ensuring 24/7 coverage without overnight shifts: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Shift</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Coverage Window (UTC)</w:t>
            </w:r>
          </w:p>
        </w:tc>
        <w:tc>
          <w:tcPr>
            <w:tcW w:type="pct" w:w="3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Region</w:t>
            </w:r>
          </w:p>
        </w:tc>
        <w:tc>
          <w:tcPr>
            <w:tcW w:type="pct" w:w="3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Staffing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EMEA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06:00 – 14:00</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Europe (CET/CEST)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analysts + 1 senior</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14:00 – 22:00</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Americas (ET/PT)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analysts + 1 senior</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APAC</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22:00 – 06:00</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Asia-Pacific (JST/AEST)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analysts + 1 senior</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4.4 Automated Recovery Playbooks</w:t>
      </w:r>
    </w:p>
    <w:p>
      <w:pPr>
        <w:pStyle w:val="Heading3"/>
        <w:spacing w:after="120" w:before="240" w:line="312" w:lineRule="auto"/>
      </w:pPr>
      <w:r>
        <w:rPr>
          <w:rFonts w:ascii="Calibri" w:cs="Calibri" w:eastAsia="Calibri" w:hAnsi="Calibri"/>
          <w:color w:val="1A2A44"/>
          <w:sz w:val="28"/>
          <w:szCs w:val="28"/>
        </w:rPr>
        <w:t xml:space="preserve">Playbook 1: Ransomware Incident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Attribute</w:t>
            </w:r>
          </w:p>
        </w:tc>
        <w:tc>
          <w:tcPr>
            <w:tcW w:type="pct" w:w="8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Conditions</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EDR alert for ransomware indicators (mass file rename, encryption behavior); SIEM correlation rule fires; SOC analyst confirms ransomware TTP</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Duration</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4–12 hours (depending on scope)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Criteria</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affected systems restored from clean backups; data integrity verified; threat actor access eliminated; normal operations resumed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Recovery Steps: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EDR detects ransomware behavior → automated endpoint isolation triggered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SIEM correlation rule fires → incident ticket created, SOC paged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Network microsegmentation policy applied to isolate affected VLAN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SOC analyst confirms scope: number of affected endpoints, data volumes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Decision Point:</w:t>
      </w:r>
      <w:r>
        <w:rPr>
          <w:rFonts w:ascii="Calibri" w:cs="Calibri" w:eastAsia="Calibri" w:hAnsi="Calibri"/>
          <w:b w:val="false"/>
          <w:bCs w:val="false"/>
          <w:i w:val="false"/>
          <w:iCs w:val="false"/>
          <w:strike w:val="false"/>
          <w:color w:val="000000"/>
          <w:sz w:val="22"/>
          <w:szCs w:val="22"/>
        </w:rPr>
        <w:t xml:space="preserve"> Incident Commander determines if full BCP activation required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Forensic snapshot captured from all affected endpoints (memory + disk)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Identify ransomware variant, assess for decryption tool availability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Initiate restoration from last verified immutable backup (pre-infection)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Deploy clean OS images to affected endpoints via automated provisioning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Validate data integrity: checksum comparison between restored and known-good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Re-enable network access for restored systems with enhanced monitoring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Post-incident review: root cause analysis, lessons learned, control improvements</w:t>
      </w:r>
    </w:p>
    <w:p>
      <w:pPr>
        <w:pStyle w:val="Heading3"/>
        <w:spacing w:after="120" w:before="240" w:line="312" w:lineRule="auto"/>
      </w:pPr>
      <w:r>
        <w:rPr>
          <w:rFonts w:ascii="Calibri" w:cs="Calibri" w:eastAsia="Calibri" w:hAnsi="Calibri"/>
          <w:color w:val="1A2A44"/>
          <w:sz w:val="28"/>
          <w:szCs w:val="28"/>
        </w:rPr>
        <w:t xml:space="preserve">Playbook 2: Cloud Region Failure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Attribute</w:t>
            </w:r>
          </w:p>
        </w:tc>
        <w:tc>
          <w:tcPr>
            <w:tcW w:type="pct" w:w="8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 provider status page reports region-wide incident; monitoring detects &gt;50% service degradation in primary region; multiple health probes fail simultaneously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Duration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minutes – 2 hours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Criteria</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critical services operational in DR region; customer impact minimized; data consistency verified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Recovery Steps: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Health probes detect region degradation → monitoring alert fires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DNS failover initiates — traffic rerouting to secondary region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Load balancer configuration updates to remove unhealthy region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Decision Point:</w:t>
      </w:r>
      <w:r>
        <w:rPr>
          <w:rFonts w:ascii="Calibri" w:cs="Calibri" w:eastAsia="Calibri" w:hAnsi="Calibri"/>
          <w:b w:val="false"/>
          <w:bCs w:val="false"/>
          <w:i w:val="false"/>
          <w:iCs w:val="false"/>
          <w:strike w:val="false"/>
          <w:color w:val="000000"/>
          <w:sz w:val="22"/>
          <w:szCs w:val="22"/>
        </w:rPr>
        <w:t xml:space="preserve"> Confirm full region evacuation vs. partial service failover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Tier 1 services verify active-active status in secondary region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Tier 2 services activate warm standby instances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Data consistency check: verify replication lag, identify any data gaps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Validate customer-facing services functional via synthetic monitoring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Customer notification: automated status page update and email notification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Monitor for primary region recovery; plan failback when stable</w:t>
      </w:r>
    </w:p>
    <w:p>
      <w:pPr>
        <w:pStyle w:val="Heading3"/>
        <w:spacing w:after="120" w:before="240" w:line="312" w:lineRule="auto"/>
      </w:pPr>
      <w:r>
        <w:rPr>
          <w:rFonts w:ascii="Calibri" w:cs="Calibri" w:eastAsia="Calibri" w:hAnsi="Calibri"/>
          <w:color w:val="1A2A44"/>
          <w:sz w:val="28"/>
          <w:szCs w:val="28"/>
        </w:rPr>
        <w:t xml:space="preserve">Playbook 3: Third-Party Service Outage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Attribute</w:t>
            </w:r>
          </w:p>
        </w:tc>
        <w:tc>
          <w:tcPr>
            <w:tcW w:type="pct" w:w="8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SLA breach detected: vendor API error rate &gt;5% for &gt;5 minutes; circuit breaker trips; vendor status page confirms incident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Duration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minutes – 4 hours (depending on vendor recovery)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Criteria</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to secondary provider active; transaction continuity maintained; vendor escalation initiated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Recovery Steps: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Circuit breaker detects sustained error rate → trips to open state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Traffic rerouted to secondary/fallback provider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Queued transactions replayed to secondary provider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Vendor escalation: contact vendor incident management via contractual escalation path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Decision Point:</w:t>
      </w:r>
      <w:r>
        <w:rPr>
          <w:rFonts w:ascii="Calibri" w:cs="Calibri" w:eastAsia="Calibri" w:hAnsi="Calibri"/>
          <w:b w:val="false"/>
          <w:bCs w:val="false"/>
          <w:i w:val="false"/>
          <w:iCs w:val="false"/>
          <w:strike w:val="false"/>
          <w:color w:val="000000"/>
          <w:sz w:val="22"/>
          <w:szCs w:val="22"/>
        </w:rPr>
        <w:t xml:space="preserve"> If outage exceeds 4 hours, activate manual override procedures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Monitoring: half-open circuit breaker tests primary vendor at 5-minute intervals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Upon vendor recovery confirmation, validate service health before failback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Post-incident: document SLA breach, initiate contractual remedies, update risk assessment</w:t>
      </w:r>
    </w:p>
    <w:p>
      <w:pPr>
        <w:pStyle w:val="Heading3"/>
        <w:spacing w:after="120" w:before="240" w:line="312" w:lineRule="auto"/>
      </w:pPr>
      <w:r>
        <w:rPr>
          <w:rFonts w:ascii="Calibri" w:cs="Calibri" w:eastAsia="Calibri" w:hAnsi="Calibri"/>
          <w:color w:val="1A2A44"/>
          <w:sz w:val="28"/>
          <w:szCs w:val="28"/>
        </w:rPr>
        <w:t xml:space="preserve">Playbook 4: Insider Threat Containment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Attribute</w:t>
            </w:r>
          </w:p>
        </w:tc>
        <w:tc>
          <w:tcPr>
            <w:tcW w:type="pct" w:w="8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UEBA anomaly score exceeds threshold; DLP alert for unauthorized data movement; manager/HR referral for concerning behavior</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Estimated Duration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2–48 hours (containment immediate; investigation extended)</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Success Criteria</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 actor access revoked; forensic evidence preserved; data exposure assessed; operations uninterrupted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Recovery Steps: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UEBA alert triggers investigation workflow → security team notified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Security analyst reviews UEBA context: access patterns, data volumes, temporal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Decision Point:</w:t>
      </w:r>
      <w:r>
        <w:rPr>
          <w:rFonts w:ascii="Calibri" w:cs="Calibri" w:eastAsia="Calibri" w:hAnsi="Calibri"/>
          <w:b w:val="false"/>
          <w:bCs w:val="false"/>
          <w:i w:val="false"/>
          <w:iCs w:val="false"/>
          <w:strike w:val="false"/>
          <w:color w:val="000000"/>
          <w:sz w:val="22"/>
          <w:szCs w:val="22"/>
        </w:rPr>
        <w:t xml:space="preserve"> Confirm threat (active insider) vs. false positive (legitimate behavior)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Upon confirmation: immediate access revocation across all systems (PAM, IAM, VPN, email)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Forensic preservation: disk images, memory captures, log snapshots for affected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Impact assessment: determine scope of data accessed, exfiltrated, or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Legal and HR notification: engage legal counsel, HR for employment action, law enforcement if warranted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[AUTO]</w:t>
      </w:r>
      <w:r>
        <w:rPr>
          <w:rFonts w:ascii="Calibri" w:cs="Calibri" w:eastAsia="Calibri" w:hAnsi="Calibri"/>
          <w:b w:val="false"/>
          <w:bCs w:val="false"/>
          <w:i w:val="false"/>
          <w:iCs w:val="false"/>
          <w:strike w:val="false"/>
          <w:color w:val="000000"/>
          <w:sz w:val="22"/>
          <w:szCs w:val="22"/>
        </w:rPr>
        <w:t xml:space="preserve"> Credential rotation: force password reset for all accounts the individual had access to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Validate no persistent access: review for backdoors, unauthorized accounts, scheduled tasks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[MANUAL]</w:t>
      </w:r>
      <w:r>
        <w:rPr>
          <w:rFonts w:ascii="Calibri" w:cs="Calibri" w:eastAsia="Calibri" w:hAnsi="Calibri"/>
          <w:b w:val="false"/>
          <w:bCs w:val="false"/>
          <w:i w:val="false"/>
          <w:iCs w:val="false"/>
          <w:strike w:val="false"/>
          <w:color w:val="000000"/>
          <w:sz w:val="22"/>
          <w:szCs w:val="22"/>
        </w:rPr>
        <w:t xml:space="preserve"> Post-incident review: update access control policies, enhance monitoring rules, conduct lessons-learned</w:t>
      </w:r>
    </w:p>
    <w:p>
      <w:pPr>
        <w:pStyle w:val="Heading2"/>
        <w:spacing w:after="120" w:before="360" w:line="312" w:lineRule="auto"/>
      </w:pPr>
      <w:r>
        <w:rPr>
          <w:rFonts w:ascii="Calibri" w:cs="Calibri" w:eastAsia="Calibri" w:hAnsi="Calibri"/>
          <w:color w:val="0F1B2D"/>
          <w:sz w:val="36"/>
          <w:szCs w:val="36"/>
        </w:rPr>
        <w:t xml:space="preserve">4.5 Recovery Validation &amp; Testing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Month</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Test Type</w:t>
            </w:r>
          </w:p>
        </w:tc>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Scope</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Participants</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Duration</w:t>
            </w:r>
          </w:p>
        </w:tc>
        <w:tc>
          <w:tcPr>
            <w:tcW w:type="pct" w:w="2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Success Criteria</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DORA Alignment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January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Tabletop exercise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Ransomware scenario — board-level crisis management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Executive team, CISO, Legal, Communications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Decision tree followed; communication plan executed; roles clear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24(1), Art. 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February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recovery regression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6 ART tests (database, backup, network, container, cert, log)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SRE team (automated)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6 tests pass with RTO/RPO within targets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25(1)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March</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Chaos engineering Game Day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Multi-fault injection: region failure + vendor outage simultaneously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engineering team, SOC</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day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critical functions survive compound failure; RTO ≤ 60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 Art. 25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Tabletop exercise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Insider threat — data exfiltration discovery and containment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HR, Legal, IT Operations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Containment initiated &lt;30 min; forensic procedure followed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24(1), Art. 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Failover test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Tier 1 failover to DR region — live traffic (controlled)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SRE, Platform, SOC, Business stakeholders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P1 functions operational in DR region; RTO ≤ 5 min; zero data loss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25(1), Art. 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resilience test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Simulated outage of top 3 critical ICT providers (sequential)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management, SRE, SOC</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day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vendor failovers execute; transaction continuity maintained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 Art. 25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Tabletop exercise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compromise — compromised software update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Development, Compliance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 procedure validated; containment plan effective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August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recovery regression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6 ART tests (quarterly cycle)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SRE team (automated)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6 tests pass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25(1)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September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Communication channel test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channel failure — validate secondary and tertiary channels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crisis management team members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team members reachable via secondary within 15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11, Art. 24</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October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Tabletop exercise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DDoS + concurrent ransomware — compound attack scenario</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incident response team</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Both incidents managed concurrently; no resource conflict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24(1), Art. 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November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BCP exercise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full-scale exercise: simulated total primary site loss, all staff remote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departments, Board observers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days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critical functions recovered within MTD; regulatory reporting maintained; customer communications executed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 Art. 25, Art. 11, Art. 12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December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review &amp; planning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all test results, update BCP, plan next year's program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CISO, CRO, BCM Manager, Internal Audit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day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Updated BCP approved by management body; next year's schedule finalized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24(2)</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4.6 Case Study: Remote-First BCP Deployment for a Pan-European Insurer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2A44" w:sz="6"/>
              <w:left w:val="single" w:color="1A2A44" w:sz="6"/>
              <w:bottom w:val="single" w:color="1A2A44" w:sz="6"/>
              <w:right w:val="single" w:color="1A2A44"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1B2D"/>
                <w:sz w:val="22"/>
                <w:szCs w:val="22"/>
              </w:rPr>
              <w:t xml:space="preserve">Case Study Context</w:t>
            </w:r>
          </w:p>
          <w:p>
            <w:pPr>
              <w:spacing w:after="120" w:line="360" w:lineRule="auto"/>
            </w:pPr>
            <w:r>
              <w:rPr>
                <w:rFonts w:ascii="Calibri" w:cs="Calibri" w:eastAsia="Calibri" w:hAnsi="Calibri"/>
                <w:b/>
                <w:bCs/>
                <w:i w:val="false"/>
                <w:iCs w:val="false"/>
                <w:strike w:val="false"/>
                <w:color w:val="000000"/>
                <w:sz w:val="22"/>
                <w:szCs w:val="22"/>
              </w:rPr>
              <w:t xml:space="preserve">Entity:</w:t>
            </w:r>
            <w:r>
              <w:rPr>
                <w:rFonts w:ascii="Calibri" w:cs="Calibri" w:eastAsia="Calibri" w:hAnsi="Calibri"/>
                <w:b w:val="false"/>
                <w:bCs w:val="false"/>
                <w:i w:val="false"/>
                <w:iCs w:val="false"/>
                <w:strike w:val="false"/>
                <w:color w:val="000000"/>
                <w:sz w:val="22"/>
                <w:szCs w:val="22"/>
              </w:rPr>
              <w:t xml:space="preserve"> Continental Shield Insurance (fictional) — Pan-European insurer, 4,500 employees across 8 countries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Challenge:</w:t>
            </w:r>
            <w:r>
              <w:rPr>
                <w:rFonts w:ascii="Calibri" w:cs="Calibri" w:eastAsia="Calibri" w:hAnsi="Calibri"/>
                <w:b w:val="false"/>
                <w:bCs w:val="false"/>
                <w:i w:val="false"/>
                <w:iCs w:val="false"/>
                <w:strike w:val="false"/>
                <w:color w:val="000000"/>
                <w:sz w:val="22"/>
                <w:szCs w:val="22"/>
              </w:rPr>
              <w:t xml:space="preserve"> Legacy on-premises BCP inadequate for remote workforce and DORA compliance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Period:</w:t>
            </w:r>
            <w:r>
              <w:rPr>
                <w:rFonts w:ascii="Calibri" w:cs="Calibri" w:eastAsia="Calibri" w:hAnsi="Calibri"/>
                <w:b w:val="false"/>
                <w:bCs w:val="false"/>
                <w:i w:val="false"/>
                <w:iCs w:val="false"/>
                <w:strike w:val="false"/>
                <w:color w:val="000000"/>
                <w:sz w:val="22"/>
                <w:szCs w:val="22"/>
              </w:rPr>
              <w:t xml:space="preserve"> July 2025 – March 2026 (9 months, 4 phases)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Background:</w:t>
      </w:r>
      <w:r>
        <w:rPr>
          <w:rFonts w:ascii="Calibri" w:cs="Calibri" w:eastAsia="Calibri" w:hAnsi="Calibri"/>
          <w:b w:val="false"/>
          <w:bCs w:val="false"/>
          <w:i w:val="false"/>
          <w:iCs w:val="false"/>
          <w:strike w:val="false"/>
          <w:color w:val="000000"/>
          <w:sz w:val="22"/>
          <w:szCs w:val="22"/>
        </w:rPr>
        <w:t xml:space="preserve"> Continental Shield Insurance had operated a traditional BCP centered on a physical disaster recovery site in Vienna. The plan assumed that key personnel could physically relocate within 4 hours — an assumption invalidated during the pandemic and fundamentally incompatible with DORA's operational resilience requirements. With 62% of staff working remotely or hybrid, and critical systems partially migrated to cloud, the existing BCP was effectively non-functional.</w:t>
      </w:r>
    </w:p>
    <w:p>
      <w:pPr>
        <w:pStyle w:val="Heading3"/>
        <w:spacing w:after="120" w:before="240" w:line="312" w:lineRule="auto"/>
      </w:pPr>
      <w:r>
        <w:rPr>
          <w:rFonts w:ascii="Calibri" w:cs="Calibri" w:eastAsia="Calibri" w:hAnsi="Calibri"/>
          <w:color w:val="1A2A44"/>
          <w:sz w:val="28"/>
          <w:szCs w:val="28"/>
        </w:rPr>
        <w:t xml:space="preserve">Implementation Phases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Phase</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Period</w:t>
            </w:r>
          </w:p>
        </w:tc>
        <w:tc>
          <w:tcPr>
            <w:tcW w:type="pct" w:w="2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Scope</w:t>
            </w:r>
          </w:p>
        </w:tc>
        <w:tc>
          <w:tcPr>
            <w:tcW w:type="pct" w:w="5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Key Deliverables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1: Assessment &amp; Design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Jul–Aug 2025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BIA refresh, gap analysis, architecture design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Updated BIA for all 23 business functions; gap analysis vs. DORA Art. 11/12; target architecture blueprint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2: Infrastructure Build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Sep–Nov 2025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 migration, DR environment, automation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Multi-region cloud deployment (AWS eu-west-1 + eu-central-1); IaC templates; automated backup verification; VDI deployment for all remote workers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3: Playbook Development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 2025–Jan 2026</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playbooks, communication plan, training</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automated recovery playbooks; crisis communication plan; role-based training for 120 key personnel; first tabletop exercise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Phase 4: Validation &amp; Go-Live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Feb–Mar 2026</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Testing, validation, regulatory evidence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BCP exercise (2-day simulation); chaos engineering validation of critical failovers; DORA compliance evidence package; management body sign-off</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Results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Metric</w:t>
            </w:r>
          </w:p>
        </w:tc>
        <w:tc>
          <w:tcPr>
            <w:tcW w:type="pct" w:w="2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Before (Legacy BCP)</w:t>
            </w:r>
          </w:p>
        </w:tc>
        <w:tc>
          <w:tcPr>
            <w:tcW w:type="pct" w:w="3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After (Remote-First BCP)</w:t>
            </w:r>
          </w:p>
        </w:tc>
        <w:tc>
          <w:tcPr>
            <w:tcW w:type="pct" w:w="2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Improvement</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RTO (Core Claims Processing)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 hours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92% reduction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RPO (Policy Database)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hours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minutes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97% reduction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Operability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(required physical DR site)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remote capability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 Test Frequency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(paper-based)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automated + quarterly exercises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validation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 Compliance Gaps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14 material gaps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material gaps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compliance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Automation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 (fully manual)</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78% (automated with manual decision points)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Significant automation</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Attribution Narrative — Ssambra's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A44"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Continental Shield project was one of the most rewarding transformations I have been involved in. The challenge was not just technical — it was cultural. The organization had a deeply embedded belief that disaster recovery meant "drive to Vienna." Changing that mindset required demonstrating that a remote-first architecture is not just adequate but superior: faster recovery, broader accessibility, and continuous validation instead of annual paper exercises.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most critical architecture decision was the tiered recovery model. Not everything needs active-active. The cost of synchronous replication across all systems would have been prohibitive and operationally complex. By classifying functions into P1–P4 and assigning each to the appropriate tier, we optimized cost while ensuring that the truly critical functions — claims processing, customer authentication, regulatory reporting — had near-zero recovery objectives.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validation phase was where the value became tangible. During the 2-day full BCP exercise in February 2026, all 120 key personnel participated from their home locations across 8 countries. The simulated total site loss scenario was managed entirely via virtual channels. RTO for core claims processing was achieved in 1 hour 47 minutes — well within the 2-hour target. No personnel needed to travel. No physical site was activated. The management body witnessed the exercise and approved the new BCP with confidence. DORA compliance was not a checkbox — it was a demonstrated capability.</w:t>
            </w:r>
          </w:p>
          <w:p>
            <w:pPr>
              <w:spacing w:after="120" w:line="360" w:lineRule="auto"/>
              <w:jc w:val="right"/>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Ssambra</w:t>
            </w:r>
            <w:r>
              <w:rPr>
                <w:rFonts w:ascii="Calibri" w:cs="Calibri" w:eastAsia="Calibri" w:hAnsi="Calibri"/>
                <w:b w:val="false"/>
                <w:bCs w:val="false"/>
                <w:i w:val="false"/>
                <w:iCs w:val="false"/>
                <w:strike w:val="false"/>
                <w:color w:val="000000"/>
                <w:sz w:val="22"/>
                <w:szCs w:val="22"/>
              </w:rPr>
              <w:t xml:space="preserve">, Identity Auditor &amp; Threat Sentinel</w:t>
            </w:r>
          </w:p>
        </w:tc>
      </w:tr>
    </w:tbl>
    <w:p>
      <w:pPr>
        <w:spacing w:after="24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5. KPI Dashboard &amp; Operational Metrics</w:t>
      </w:r>
    </w:p>
    <w:p>
      <w:pPr>
        <w:pStyle w:val="Heading2"/>
        <w:spacing w:after="120" w:before="360" w:line="312" w:lineRule="auto"/>
      </w:pPr>
      <w:r>
        <w:rPr>
          <w:rFonts w:ascii="Calibri" w:cs="Calibri" w:eastAsia="Calibri" w:hAnsi="Calibri"/>
          <w:color w:val="0F1B2D"/>
          <w:sz w:val="36"/>
          <w:szCs w:val="36"/>
        </w:rPr>
        <w:t xml:space="preserve">5.1 Resilience KPI Framework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KPI ID</w:t>
            </w:r>
          </w:p>
        </w:tc>
        <w:tc>
          <w:tcPr>
            <w:tcW w:type="pct" w:w="2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KPI Name</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Category</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Target</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Current</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Frequency</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Data Source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KPI-001</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risk assessment completion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98%</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GRC Platform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KPI-002</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Time to Detect (MTTD)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 Detection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15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min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SIEM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KPI-003</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Time to Respond (MTTR)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 Detection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60 min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min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SOAR Platform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KPI-004</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Resilience test pass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Resilience Testing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92%</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Amber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 Management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KPI-005</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RTO achievement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test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 Test Reports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KPI-006</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Time to Clean Recovery (MTCR)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4 hrs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3.2 hrs</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incident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Reports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KPI-007</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register completeness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GRC Platform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KPI-008</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vulnerability remediation (≤ 72 hrs)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 Detection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97%</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Vulnerability Scanner</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KPI-009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Patch compliance rate (30-day window)</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96%</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Amber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Patch Management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awareness training completion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99.2%</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LMS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KPI-011</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Phishing simulation click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Phishing Platform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KPI-012</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reporting timeliness (NIS2 24-hr early warning)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incident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Management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KPI-013</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 exercise participation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94%</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exercise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BCM Records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KPI-014</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finding closure rate (within SLA)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87%</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Amber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Tracker</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KPI-015</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SLA compliance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 99%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99.4%</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Dashboards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KPI-016</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providers within tolerance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Assessment</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KPI-017</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integrity verification success rate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(automated)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System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KPI-018</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Privileged access review completion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PAM / IAM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KPI-019</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Encryption coverage (data at rest)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Compliance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99.8%</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Monthly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Inventory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KPI-020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 region configuration parity score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Resilience Testing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Green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 (automated)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IaC Drift Detection</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Dashboard Summary:</w:t>
      </w:r>
      <w:r>
        <w:rPr>
          <w:rFonts w:ascii="Calibri" w:cs="Calibri" w:eastAsia="Calibri" w:hAnsi="Calibri"/>
          <w:b w:val="false"/>
          <w:bCs w:val="false"/>
          <w:i w:val="false"/>
          <w:iCs w:val="false"/>
          <w:strike w:val="false"/>
          <w:color w:val="000000"/>
          <w:sz w:val="22"/>
          <w:szCs w:val="22"/>
        </w:rPr>
        <w:t xml:space="preserve"> 15 Green | 4 Amber | 1 Red</w:t>
      </w:r>
    </w:p>
    <w:p>
      <w:pPr>
        <w:spacing w:after="120" w:before="60" w:line="360" w:lineRule="auto"/>
      </w:pPr>
      <w:r>
        <w:rPr>
          <w:rFonts w:ascii="Calibri" w:cs="Calibri" w:eastAsia="Calibri" w:hAnsi="Calibri"/>
          <w:b/>
          <w:bCs/>
          <w:i w:val="false"/>
          <w:iCs w:val="false"/>
          <w:strike w:val="false"/>
          <w:color w:val="000000"/>
          <w:sz w:val="22"/>
          <w:szCs w:val="22"/>
        </w:rPr>
        <w:t xml:space="preserve">Action Items for Amber/Red KPIs: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KPI-004 (Resilience test pass rate – 92%):</w:t>
      </w:r>
      <w:r>
        <w:rPr>
          <w:rFonts w:ascii="Calibri" w:cs="Calibri" w:eastAsia="Calibri" w:hAnsi="Calibri"/>
          <w:b w:val="false"/>
          <w:bCs w:val="false"/>
          <w:i w:val="false"/>
          <w:iCs w:val="false"/>
          <w:strike w:val="false"/>
          <w:color w:val="000000"/>
          <w:sz w:val="22"/>
          <w:szCs w:val="22"/>
        </w:rPr>
        <w:t xml:space="preserve"> CT-002 initial failure and CT-006 observations reduced pass rate. Retests passed; Q2 projection &gt;95%.</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KPI-009 (Patch compliance – 96%):</w:t>
      </w:r>
      <w:r>
        <w:rPr>
          <w:rFonts w:ascii="Calibri" w:cs="Calibri" w:eastAsia="Calibri" w:hAnsi="Calibri"/>
          <w:b w:val="false"/>
          <w:bCs w:val="false"/>
          <w:i w:val="false"/>
          <w:iCs w:val="false"/>
          <w:strike w:val="false"/>
          <w:color w:val="000000"/>
          <w:sz w:val="22"/>
          <w:szCs w:val="22"/>
        </w:rPr>
        <w:t xml:space="preserve"> Legacy OT systems with extended patch validation cycles. Mitigation: compensating controls (network isolation) in place; vendor patch validation lab established.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KPI-014 (Audit finding closure – 87%):</w:t>
      </w:r>
      <w:r>
        <w:rPr>
          <w:rFonts w:ascii="Calibri" w:cs="Calibri" w:eastAsia="Calibri" w:hAnsi="Calibri"/>
          <w:b w:val="false"/>
          <w:bCs w:val="false"/>
          <w:i w:val="false"/>
          <w:iCs w:val="false"/>
          <w:strike w:val="false"/>
          <w:color w:val="000000"/>
          <w:sz w:val="22"/>
          <w:szCs w:val="22"/>
        </w:rPr>
        <w:t xml:space="preserve"> Two major findings from Q1 vendor audits pending remediation by vendors (DataStream GmbH exit plan, TrustNet DR test). Escalation in progress.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KPI-016 (Concentration risk – 80%, Red):</w:t>
      </w:r>
      <w:r>
        <w:rPr>
          <w:rFonts w:ascii="Calibri" w:cs="Calibri" w:eastAsia="Calibri" w:hAnsi="Calibri"/>
          <w:b w:val="false"/>
          <w:bCs w:val="false"/>
          <w:i w:val="false"/>
          <w:iCs w:val="false"/>
          <w:strike w:val="false"/>
          <w:color w:val="000000"/>
          <w:sz w:val="22"/>
          <w:szCs w:val="22"/>
        </w:rPr>
        <w:t xml:space="preserve"> CloudVault EU concentration risk exceeds tolerance for 1 of 5 assessed providers. Multi-cloud strategy implementation in progress; secondary IaaS provider onboarding initiated.</w:t>
      </w:r>
    </w:p>
    <w:p>
      <w:pPr>
        <w:pStyle w:val="Heading2"/>
        <w:spacing w:after="120" w:before="360" w:line="312" w:lineRule="auto"/>
      </w:pPr>
      <w:r>
        <w:rPr>
          <w:rFonts w:ascii="Calibri" w:cs="Calibri" w:eastAsia="Calibri" w:hAnsi="Calibri"/>
          <w:color w:val="0F1B2D"/>
          <w:sz w:val="36"/>
          <w:szCs w:val="36"/>
        </w:rPr>
        <w:t xml:space="preserve">5.2 Trend Analysis &amp; Reporting</w:t>
      </w:r>
    </w:p>
    <w:p>
      <w:pPr>
        <w:pStyle w:val="Heading3"/>
        <w:spacing w:after="120" w:before="240" w:line="312" w:lineRule="auto"/>
      </w:pPr>
      <w:r>
        <w:rPr>
          <w:rFonts w:ascii="Calibri" w:cs="Calibri" w:eastAsia="Calibri" w:hAnsi="Calibri"/>
          <w:color w:val="1A2A44"/>
          <w:sz w:val="28"/>
          <w:szCs w:val="28"/>
        </w:rPr>
        <w:t xml:space="preserve">Quarterly Trend Reporting Methodology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Trend reports are generated quarterly and presented to the management body. Each report includes: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KPI Trend Analysis:</w:t>
      </w:r>
      <w:r>
        <w:rPr>
          <w:rFonts w:ascii="Calibri" w:cs="Calibri" w:eastAsia="Calibri" w:hAnsi="Calibri"/>
          <w:b w:val="false"/>
          <w:bCs w:val="false"/>
          <w:i w:val="false"/>
          <w:iCs w:val="false"/>
          <w:strike w:val="false"/>
          <w:color w:val="000000"/>
          <w:sz w:val="22"/>
          <w:szCs w:val="22"/>
        </w:rPr>
        <w:t xml:space="preserve"> Quarter-over-quarter comparison for all 20 KPIs with directional indicators (improving, stable, declining). Statistical significance assessed for changes &gt;5%.</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Risk Posture Evolution:</w:t>
      </w:r>
      <w:r>
        <w:rPr>
          <w:rFonts w:ascii="Calibri" w:cs="Calibri" w:eastAsia="Calibri" w:hAnsi="Calibri"/>
          <w:b w:val="false"/>
          <w:bCs w:val="false"/>
          <w:i w:val="false"/>
          <w:iCs w:val="false"/>
          <w:strike w:val="false"/>
          <w:color w:val="000000"/>
          <w:sz w:val="22"/>
          <w:szCs w:val="22"/>
        </w:rPr>
        <w:t xml:space="preserve"> Changes in the risk register — new risks identified, risks closed, risk score changes. Residual risk trending.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Testing Program Progress:</w:t>
      </w:r>
      <w:r>
        <w:rPr>
          <w:rFonts w:ascii="Calibri" w:cs="Calibri" w:eastAsia="Calibri" w:hAnsi="Calibri"/>
          <w:b w:val="false"/>
          <w:bCs w:val="false"/>
          <w:i w:val="false"/>
          <w:iCs w:val="false"/>
          <w:strike w:val="false"/>
          <w:color w:val="000000"/>
          <w:sz w:val="22"/>
          <w:szCs w:val="22"/>
        </w:rPr>
        <w:t xml:space="preserve"> Tests executed vs. planned, pass/fail rates, remediation backlog age distribution.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Incident Analysis:</w:t>
      </w:r>
      <w:r>
        <w:rPr>
          <w:rFonts w:ascii="Calibri" w:cs="Calibri" w:eastAsia="Calibri" w:hAnsi="Calibri"/>
          <w:b w:val="false"/>
          <w:bCs w:val="false"/>
          <w:i w:val="false"/>
          <w:iCs w:val="false"/>
          <w:strike w:val="false"/>
          <w:color w:val="000000"/>
          <w:sz w:val="22"/>
          <w:szCs w:val="22"/>
        </w:rPr>
        <w:t xml:space="preserve"> Incident volume, severity distribution, MTTD/MTTR trends, root cause categorization.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Third-Party Risk Dashboard:</w:t>
      </w:r>
      <w:r>
        <w:rPr>
          <w:rFonts w:ascii="Calibri" w:cs="Calibri" w:eastAsia="Calibri" w:hAnsi="Calibri"/>
          <w:b w:val="false"/>
          <w:bCs w:val="false"/>
          <w:i w:val="false"/>
          <w:iCs w:val="false"/>
          <w:strike w:val="false"/>
          <w:color w:val="000000"/>
          <w:sz w:val="22"/>
          <w:szCs w:val="22"/>
        </w:rPr>
        <w:t xml:space="preserve"> Vendor performance against SLAs, new vendor assessments, concentration risk evolution.</w:t>
      </w:r>
    </w:p>
    <w:p>
      <w:pPr>
        <w:pStyle w:val="Heading3"/>
        <w:spacing w:after="120" w:before="240" w:line="312" w:lineRule="auto"/>
      </w:pPr>
      <w:r>
        <w:rPr>
          <w:rFonts w:ascii="Calibri" w:cs="Calibri" w:eastAsia="Calibri" w:hAnsi="Calibri"/>
          <w:color w:val="1A2A44"/>
          <w:sz w:val="28"/>
          <w:szCs w:val="28"/>
        </w:rPr>
        <w:t xml:space="preserve">Regulatory Reporting Alignment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Report</w:t>
            </w:r>
          </w:p>
        </w:tc>
        <w:tc>
          <w:tcPr>
            <w:tcW w:type="pct" w:w="1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Regulation</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Frequency</w:t>
            </w:r>
          </w:p>
        </w:tc>
        <w:tc>
          <w:tcPr>
            <w:tcW w:type="pct" w:w="4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Content</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Register Update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 Art. 28(3)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 upon material change)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register of all ICT third-party arrangements; new/terminated arrangements; critical function mappings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 Resilience Testing Report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 Art. 24</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Testing program summary; test results; remediation actions; TLPT results (where applicable)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ICT Incident Report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 Art. 19 / NIS2 Art. 23</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 incident</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Early warning (24 hrs), initial notification (72 hrs), intermediate report, final report (1 month)</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Compliance Self-Assessment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IR 2024/2690</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Assessment against all 13 ENISA domains; maturity ratings; remediation progress</w:t>
            </w:r>
          </w:p>
        </w:tc>
      </w:tr>
    </w:tbl>
    <w:p>
      <w:pPr>
        <w:spacing w:after="20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6. Audit Log Compendium</w:t>
      </w:r>
    </w:p>
    <w:p>
      <w:pPr>
        <w:pStyle w:val="Heading2"/>
        <w:spacing w:after="120" w:before="360" w:line="312" w:lineRule="auto"/>
      </w:pPr>
      <w:r>
        <w:rPr>
          <w:rFonts w:ascii="Calibri" w:cs="Calibri" w:eastAsia="Calibri" w:hAnsi="Calibri"/>
          <w:color w:val="0F1B2D"/>
          <w:sz w:val="36"/>
          <w:szCs w:val="36"/>
        </w:rPr>
        <w:t xml:space="preserve">6.1 Master Audit Trail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Audit ID</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Date</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Playbook</w:t>
            </w:r>
          </w:p>
        </w:tc>
        <w:tc>
          <w:tcPr>
            <w:tcW w:type="pct" w:w="15%"/>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Activity</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Performed By</w:t>
            </w:r>
          </w:p>
        </w:tc>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Finding/Result</w:t>
            </w:r>
          </w:p>
        </w:tc>
        <w:tc>
          <w:tcPr>
            <w:tcW w:type="pct" w:w="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Severity</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Next Review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2026-01-08</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register completeness review (Art. 28(3))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Compliant — register complete with all 23 active arrangements documented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2026-04-08</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2026-01-15</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CloudVault EU SLA compliance audit (Art. 30)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 backup replication SLA metric not formally defined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2026-07-15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2026-01-22</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CT-001 Database failover test execution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 / SRE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 failover in 52 seconds, zero data loss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2026-04-22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2026-02-03</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DataStream GmbH exit strategy validation (Art. 28(8))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 proprietary data format, no open-format export option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Progress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2026-05-03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2026-02-12</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CT-005 Ransomware simulation test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 / SOC</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 detection 3 min, recovery 3h 22m, within all targets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2026-08-12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AUD-006</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2026-02-20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NexGen SecOps subcontracting review (Art. 29)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 undisclosed subcontracting to non-EU entity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2026-05-20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AUD-007</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2026-02-28</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NordPay NIS2 risk assessment — 13-domain review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Observation — 4 domains at "Developing" maturity; remediation roadmap issued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Observation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Progress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2026-05-28</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AUD-008</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2026-03-05</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CT-006 Vendor API failover test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 / SRE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with observation — 23 transactions dropped during circuit breaker transition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Remediation Scheduled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AUD-009</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2026-03-10</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TrustNet Systems BCP/DR evidence review (Art. 30(2)(d))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 DR test results for Q4 2025 not provided; no evidence of tenant-specific test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2026-05-10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AUD-010</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2026-03-14</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 landscape update review (ENISA Domain 2)</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Compliant — threat landscape refreshed with Q1 2026 intelligence; risk register updated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2026-06-14</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2026-03-19</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CT-002 Cloud region evacuation (initial attempt)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 / SRE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 — authentication service configuration drift prevented DR recovery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Remediated (Retest Passed 2026-04-09)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2026-07-09</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2026-03-25</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CyberShield Nordic certification scope review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 ISO 27001 scope does not cover vulnerability scanning module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2026-06-25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2026-04-01</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Continental Shield BCP full exercise (2-day simulation)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 all P1 functions recovered within MTD; 100% remote operability confirmed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2026-10-01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2026-04-09</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CT-002 Cloud region evacuation (retest)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 / SRE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 — full recovery in 28 minutes post-remediation; secrets management centralized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2026-07-09</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AUD-015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2026-04-15</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PB4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Annual BCP documentation review (ENISA Domain 4 / ISO 22301)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Compliant — BCP documentation current; next update scheduled per review cycle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2026-10-15</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6.2 Regulatory Compliance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Requirement</w:t>
            </w:r>
          </w:p>
        </w:tc>
        <w:tc>
          <w:tcPr>
            <w:tcW w:type="pct" w:w="1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Source</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Article/Domain</w:t>
            </w:r>
          </w:p>
        </w:tc>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Status</w:t>
            </w:r>
          </w:p>
        </w:tc>
        <w:tc>
          <w:tcPr>
            <w:tcW w:type="pct" w:w="2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Evidence Reference</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Last Assessed</w:t>
            </w:r>
          </w:p>
        </w:tc>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Next Assessment</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risk management framework</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6</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Management Policy v3.2; Risk Register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2026-09-01</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third-party risk management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TPR Policy; Vendor Register; Audit Reports AUD-001 to AUD-006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2026-03-25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2026-09-25</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assessment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29</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Partially 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Concentration Risk Report; CloudVault mitigation in progress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2026-06-15</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Contractual requirements for ICT services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30</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Review Matrix; RTS 2024/1773 clause mapping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2026-08-15</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response and recovery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11</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Playbooks 1–4; BCP Exercise Report AUD-013</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2026-10-01</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policies and procedures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12</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Policy; ART-002 test results; daily verification logs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2026-10-10</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 operational resilience testing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24–25</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 Catalog CT-001 to CT-012; Execution Logs; ART-001 to ART-006</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2026-04-09</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2026-07-09</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incident management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DORA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17</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Management Policy; SOAR workflows; reporting templates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2026-09-01</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Significant incident reporting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23</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reporting workflow; KPI-012 at 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2026-10-15</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management measures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13-domain policy framework; risk register R-001 to R-010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2026-02-28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2026-08-28</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security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 ENISA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21(2)(d) / Domain 5</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Partially 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Supply chain policy; NordPay assessment shows "Developing"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2026-02-28</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2026-05-28</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&amp; crisis management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 ENISA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21(2)(c) / Domain 4</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BCP v2.0; Crisis Communication Plan; Exercise Reports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2026-10-01</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Cyber hygiene and training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 ENISA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21(2)(g) / Domain 8</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records; KPI-010 99.2%; KPI-011 4.1% click rate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2026-03-15</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2026-09-15</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Cryptography and encryption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 ENISA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21(2)(h) / Domain 9</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Encryption Policy; KPI-019 99.8%; HSM key management docs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2026-09-01</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control and authentication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NIS2 / ENISA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21(2)(i) / Domain 11</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Control Policy; PAM deployment; KPI-018 100%</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2026-04-01</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2026-07-01</w:t>
            </w:r>
          </w:p>
        </w:tc>
      </w:tr>
    </w:tbl>
    <w:p>
      <w:pPr>
        <w:spacing w:after="200" w:before="0"/>
      </w:pPr>
    </w:p>
    <w:p>
      <w:pPr>
        <w:pBdr>
          <w:bottom w:val="single" w:color="0F1B2D" w:sz="6"/>
        </w:pBdr>
        <w:spacing w:after="240" w:before="240"/>
      </w:pPr>
    </w:p>
    <w:p>
      <w:pPr>
        <w:pStyle w:val="Heading1"/>
        <w:spacing w:after="120" w:before="480" w:line="312" w:lineRule="auto"/>
      </w:pPr>
      <w:r>
        <w:rPr>
          <w:rFonts w:ascii="Calibri" w:cs="Calibri" w:eastAsia="Calibri" w:hAnsi="Calibri"/>
          <w:color w:val="0F1B2D"/>
          <w:sz w:val="48"/>
          <w:szCs w:val="48"/>
        </w:rPr>
        <w:t xml:space="preserve">7. Appendices</w:t>
      </w:r>
    </w:p>
    <w:p>
      <w:pPr>
        <w:pStyle w:val="Heading2"/>
        <w:spacing w:after="120" w:before="360" w:line="312" w:lineRule="auto"/>
      </w:pPr>
      <w:r>
        <w:rPr>
          <w:rFonts w:ascii="Calibri" w:cs="Calibri" w:eastAsia="Calibri" w:hAnsi="Calibri"/>
          <w:color w:val="0F1B2D"/>
          <w:sz w:val="36"/>
          <w:szCs w:val="36"/>
        </w:rPr>
        <w:t xml:space="preserve">Appendix A: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Term</w:t>
            </w:r>
          </w:p>
        </w:tc>
        <w:tc>
          <w:tcPr>
            <w:tcW w:type="pct" w:w="87%"/>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Definition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DORA</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Digital Operational Resilience Act — Regulation (EU) 2022/2554 establishing requirements for ICT risk management, incident reporting, resilience testing, and third-party risk management for financial entities.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NIS2</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and Information Security Directive 2 — Directive (EU) 2022/2555 establishing cybersecurity obligations for essential and important entities across critical sectors.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ENISA</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European Union Agency for Cybersecurity — EU agency providing cybersecurity guidance, risk methodology, and threat intelligence for Member States and regulated entities.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ICT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Information and Communication Technology — the hardware, software, networks, and services that enable digital operations.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TLPT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Threat-Led Penetration Testing — advanced adversarial testing conducted on live production systems based on real threat intelligence, required by DORA Article 26 for significant entities.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RTO</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Time Objective — the maximum acceptable duration to restore a function after disruption.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RPO</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Point Objective — the maximum acceptable data loss measured in time (e.g., 15 minutes = at most 15 minutes of data may be lost).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MTD</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Maximum Tolerable Downtime — the longest period a business function can be unavailable before causing unacceptable harm.</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MTCR</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Time to Clean Recovery — the average duration to fully restore operations from clean, verified backups following a destructive incident such as ransomware.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WRT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 Recovery Time — the time required after technical recovery to verify data integrity, validate functionality, and resume normal business operations.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BIA</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Impact Analysis — a systematic process to evaluate the potential effects of disruptions on critical business functions and determine recovery priorities.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BCP</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Plan — a documented set of procedures for maintaining or recovering business operations during and after a disruption.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BCM</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Business Continuity Management — the holistic management process for identifying potential threats, building organizational resilience, and maintaining effective response capabilities.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SOC</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Operations Center — a centralized function (physical or virtual) responsible for monitoring, detecting, analyzing, and responding to cybersecurity incidents.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SIEM</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Information and Event Management — technology platform for real-time collection, correlation, and analysis of security event logs from across the IT environment.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UEBA</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and Entity Behavior Analytics — analytics platform that establishes behavioral baselines for users and entities and detects anomalous deviations that may indicate threats.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DLP</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Loss Prevention — technologies and processes designed to detect and prevent unauthorized transmission of sensitive data outside the organization.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 Persistent Threat — a sophisticated, long-term cyberattack campaign typically attributed to nation-state actors or highly organized groups targeting specific entities.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MITRE ATT&amp;CK</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globally recognized knowledge base of adversary tactics, techniques, and procedures (TTPs) based on real-world observations, used for threat modeling and detection engineering.</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 Trust</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security architecture model based on the principle "never trust, always verify" — all access requests are authenticated, authorized, and continuously validated regardless of network location.</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Appendix B: Regulatory Reference Map — DORA to ENISA NIS2 Cross-Alignment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DORA Article</w:t>
            </w:r>
          </w:p>
        </w:tc>
        <w:tc>
          <w:tcPr>
            <w:tcW w:type="pct" w:w="2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DORA Domain</w:t>
            </w:r>
          </w:p>
        </w:tc>
        <w:tc>
          <w:tcPr>
            <w:tcW w:type="pct" w:w="3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ENISA NIS2 Domain(s)</w:t>
            </w:r>
          </w:p>
        </w:tc>
        <w:tc>
          <w:tcPr>
            <w:tcW w:type="pct" w:w="3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Alignment Notes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5–6</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risk management framework</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(NIS Security Policy), 2 (Risk Management)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Both require top-level governance, risk-based approach, management body oversight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ICT systems, protocols, tools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(Asset Management), 6 (Secure Development)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Asset inventory and secure lifecycle management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8</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Identification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(Asset Management), 2 (Risk Management)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 function identification, dependency mapping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Protection and prevention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 (Cryptography), 11 (Access Control), 13 (Physical Security)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and physical controls for prevention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(Incident Handling), 7 (Effectiveness Assessment)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Monitoring, anomaly detection, logging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11</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Response and recovery</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(Incident Handling), 4 (Business Continuity)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response procedures, recovery plans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12</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policies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(Business Continuity)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backup, restoration testing, geographic separation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13</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Learning and evolving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(Effectiveness Assessment), 8 (Cyber Hygiene)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Post-incident review, lessons learned, continuous improvement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17–19</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Incident management and reporting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(Incident Handling)</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Classification, notification timelines, root cause analysis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24–27</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Resilience testing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(Effectiveness Assessment)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Testing program, vulnerability assessment, TLPT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Art. 28–30</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Third-party risk management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(Supply Chain Security)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Vendor governance, contractual requirements, concentration risk</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Appendix C: Document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Version</w:t>
            </w:r>
          </w:p>
        </w:tc>
        <w:tc>
          <w:tcPr>
            <w:tcW w:type="pct" w:w="14%"/>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Date</w:t>
            </w:r>
          </w:p>
        </w:tc>
        <w:tc>
          <w:tcPr>
            <w:tcW w:type="pct" w:w="12%"/>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Author</w:t>
            </w:r>
          </w:p>
        </w:tc>
        <w:tc>
          <w:tcPr>
            <w:tcW w:type="pct" w:w="56%"/>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Changes</w:t>
            </w:r>
          </w:p>
        </w:tc>
        <w:tc>
          <w:tcPr>
            <w:tcW w:type="pct" w:w="8%"/>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Approved By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2026-02-15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draft — Playbooks 1 and 2</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2026-03-10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Playbooks 3 and 4; KPI Dashboard; initial audit logs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0.9</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2026-04-01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Added case studies, threat attribution narratives, compliance matrix; internal review</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2026-04-25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publication — all sections complete, appendices finalized, quality review passed</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0F1B2D"/>
          <w:sz w:val="36"/>
          <w:szCs w:val="36"/>
        </w:rPr>
        <w:t xml:space="preserve">Appendix D: Professional Profile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Attribute</w:t>
            </w:r>
          </w:p>
        </w:tc>
        <w:tc>
          <w:tcPr>
            <w:tcW w:type="pct" w:w="69%"/>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Detail</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Ssambra</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Professional Identity</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Auditor &amp; Threat Sentinel</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Resilience Architect — EU Critical-Sector Cybersecurity</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Location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Kitimat, BC, Canada</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Engagement Model</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Remote-First — Available for global engagements</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Core Competencies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DORA Compliance Architecture:</w:t>
      </w:r>
      <w:r>
        <w:rPr>
          <w:rFonts w:ascii="Calibri" w:cs="Calibri" w:eastAsia="Calibri" w:hAnsi="Calibri"/>
          <w:b w:val="false"/>
          <w:bCs w:val="false"/>
          <w:i w:val="false"/>
          <w:iCs w:val="false"/>
          <w:strike w:val="false"/>
          <w:color w:val="000000"/>
          <w:sz w:val="22"/>
          <w:szCs w:val="22"/>
        </w:rPr>
        <w:t xml:space="preserve"> End-to-end design and implementation of digital operational resilience frameworks aligned to Regulation (EU) 2022/2554, including ICT risk management, third-party governance, incident management, and resilience testing programs.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ENISA Risk Methodology:</w:t>
      </w:r>
      <w:r>
        <w:rPr>
          <w:rFonts w:ascii="Calibri" w:cs="Calibri" w:eastAsia="Calibri" w:hAnsi="Calibri"/>
          <w:b w:val="false"/>
          <w:bCs w:val="false"/>
          <w:i w:val="false"/>
          <w:iCs w:val="false"/>
          <w:strike w:val="false"/>
          <w:color w:val="000000"/>
          <w:sz w:val="22"/>
          <w:szCs w:val="22"/>
        </w:rPr>
        <w:t xml:space="preserve"> Structured risk assessment aligned to ENISA's 13-domain NIS2 cybersecurity framework and Implementing Regulation (EU) 2024/2690. Full-cycle risk identification, analysis, evaluation, and treatment.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Chaos Engineering:</w:t>
      </w:r>
      <w:r>
        <w:rPr>
          <w:rFonts w:ascii="Calibri" w:cs="Calibri" w:eastAsia="Calibri" w:hAnsi="Calibri"/>
          <w:b w:val="false"/>
          <w:bCs w:val="false"/>
          <w:i w:val="false"/>
          <w:iCs w:val="false"/>
          <w:strike w:val="false"/>
          <w:color w:val="000000"/>
          <w:sz w:val="22"/>
          <w:szCs w:val="22"/>
        </w:rPr>
        <w:t xml:space="preserve"> Design and execution of chaos engineering programs for critical financial infrastructure. Steady-state hypothesis formulation, controlled failure injection, blast radius management, and Game Day facilitation.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Automated Recovery Architecture:</w:t>
      </w:r>
      <w:r>
        <w:rPr>
          <w:rFonts w:ascii="Calibri" w:cs="Calibri" w:eastAsia="Calibri" w:hAnsi="Calibri"/>
          <w:b w:val="false"/>
          <w:bCs w:val="false"/>
          <w:i w:val="false"/>
          <w:iCs w:val="false"/>
          <w:strike w:val="false"/>
          <w:color w:val="000000"/>
          <w:sz w:val="22"/>
          <w:szCs w:val="22"/>
        </w:rPr>
        <w:t xml:space="preserve"> Cloud-native, multi-region recovery automation. Infrastructure-as-code, automated failover, immutable backups, and continuous recovery validation. RTO/RPO target achievement and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Detection Engineering:</w:t>
      </w:r>
      <w:r>
        <w:rPr>
          <w:rFonts w:ascii="Calibri" w:cs="Calibri" w:eastAsia="Calibri" w:hAnsi="Calibri"/>
          <w:b w:val="false"/>
          <w:bCs w:val="false"/>
          <w:i w:val="false"/>
          <w:iCs w:val="false"/>
          <w:strike w:val="false"/>
          <w:color w:val="000000"/>
          <w:sz w:val="22"/>
          <w:szCs w:val="22"/>
        </w:rPr>
        <w:t xml:space="preserve"> SIEM rule development, UEBA configuration, threat intelligence operationalization, and MITRE ATT&amp;CK-aligned detection coverage analysis. SOC workflow design and automation.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Third-Party ICT Risk Audit:</w:t>
      </w:r>
      <w:r>
        <w:rPr>
          <w:rFonts w:ascii="Calibri" w:cs="Calibri" w:eastAsia="Calibri" w:hAnsi="Calibri"/>
          <w:b w:val="false"/>
          <w:bCs w:val="false"/>
          <w:i w:val="false"/>
          <w:iCs w:val="false"/>
          <w:strike w:val="false"/>
          <w:color w:val="000000"/>
          <w:sz w:val="22"/>
          <w:szCs w:val="22"/>
        </w:rPr>
        <w:t xml:space="preserve"> Structured audit protocols for DORA Article 28 compliance. Vendor risk assessment, concentration risk analysis, contractual clause validation, and evidence-based finding documentation.</w:t>
      </w:r>
    </w:p>
    <w:p>
      <w:pPr>
        <w:pStyle w:val="Heading3"/>
        <w:spacing w:after="120" w:before="240" w:line="312" w:lineRule="auto"/>
      </w:pPr>
      <w:r>
        <w:rPr>
          <w:rFonts w:ascii="Calibri" w:cs="Calibri" w:eastAsia="Calibri" w:hAnsi="Calibri"/>
          <w:color w:val="1A2A44"/>
          <w:sz w:val="28"/>
          <w:szCs w:val="28"/>
        </w:rPr>
        <w:t xml:space="preserve">Certifications &amp; Education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Credential</w:t>
            </w:r>
          </w:p>
        </w:tc>
        <w:tc>
          <w:tcPr>
            <w:tcW w:type="pct" w:w="50%"/>
            <w:shd w:fill="DCE4EF" w:color="auto" w:val="clear"/>
            <w:tcMar>
              <w:top w:type="dxa" w:w="90"/>
              <w:left w:type="dxa" w:w="120"/>
              <w:bottom w:type="dxa" w:w="90"/>
              <w:right w:type="dxa" w:w="120"/>
            </w:tcMar>
          </w:tcPr>
          <w:p>
            <w:r>
              <w:rPr>
                <w:rFonts w:ascii="Calibri" w:cs="Calibri" w:eastAsia="Calibri" w:hAnsi="Calibri"/>
                <w:b/>
                <w:bCs/>
                <w:i w:val="false"/>
                <w:iCs w:val="false"/>
                <w:strike w:val="false"/>
                <w:color w:val="0F1B2D"/>
                <w:sz w:val="22"/>
                <w:szCs w:val="22"/>
              </w:rPr>
              <w:t xml:space="preserve">Type</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Google Cybersecurity Professional Certificate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Professional Certification</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Six Sigma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 Improvement Certification</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MBA Coursework</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Graduate Education (Business Administration)</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 Psychology</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Undergraduate Degree</w:t>
            </w:r>
          </w:p>
        </w:tc>
      </w:tr>
    </w:tbl>
    <w:p>
      <w:pPr>
        <w:spacing w:after="200" w:before="0"/>
      </w:pPr>
    </w:p>
    <w:p>
      <w:pPr>
        <w:pStyle w:val="Heading3"/>
        <w:spacing w:after="120" w:before="240" w:line="312" w:lineRule="auto"/>
      </w:pPr>
      <w:r>
        <w:rPr>
          <w:rFonts w:ascii="Calibri" w:cs="Calibri" w:eastAsia="Calibri" w:hAnsi="Calibri"/>
          <w:color w:val="1A2A44"/>
          <w:sz w:val="28"/>
          <w:szCs w:val="28"/>
        </w:rPr>
        <w:t xml:space="preserve">Portfolio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Unified DORA–ENISA Master Playbook Portfolio demonstrates comprehensive capability across the four pillars of digital operational resilience: </w:t>
      </w:r>
      <w:r>
        <w:rPr>
          <w:rFonts w:ascii="Calibri" w:cs="Calibri" w:eastAsia="Calibri" w:hAnsi="Calibri"/>
          <w:b/>
          <w:bCs/>
          <w:i w:val="false"/>
          <w:iCs w:val="false"/>
          <w:strike w:val="false"/>
          <w:color w:val="000000"/>
          <w:sz w:val="22"/>
          <w:szCs w:val="22"/>
        </w:rPr>
        <w:t xml:space="preserve">governance</w:t>
      </w:r>
      <w:r>
        <w:rPr>
          <w:rFonts w:ascii="Calibri" w:cs="Calibri" w:eastAsia="Calibri" w:hAnsi="Calibri"/>
          <w:b w:val="false"/>
          <w:bCs w:val="false"/>
          <w:i w:val="false"/>
          <w:iCs w:val="false"/>
          <w:strike w:val="false"/>
          <w:color w:val="000000"/>
          <w:sz w:val="22"/>
          <w:szCs w:val="22"/>
        </w:rPr>
        <w:t xml:space="preserve"> (third-party risk management and regulatory compliance), </w:t>
      </w:r>
      <w:r>
        <w:rPr>
          <w:rFonts w:ascii="Calibri" w:cs="Calibri" w:eastAsia="Calibri" w:hAnsi="Calibri"/>
          <w:b/>
          <w:bCs/>
          <w:i w:val="false"/>
          <w:iCs w:val="false"/>
          <w:strike w:val="false"/>
          <w:color w:val="000000"/>
          <w:sz w:val="22"/>
          <w:szCs w:val="22"/>
        </w:rPr>
        <w:t xml:space="preserve">assessment</w:t>
      </w:r>
      <w:r>
        <w:rPr>
          <w:rFonts w:ascii="Calibri" w:cs="Calibri" w:eastAsia="Calibri" w:hAnsi="Calibri"/>
          <w:b w:val="false"/>
          <w:bCs w:val="false"/>
          <w:i w:val="false"/>
          <w:iCs w:val="false"/>
          <w:strike w:val="false"/>
          <w:color w:val="000000"/>
          <w:sz w:val="22"/>
          <w:szCs w:val="22"/>
        </w:rPr>
        <w:t xml:space="preserve"> (threat-informed risk analysis and policy frameworks), </w:t>
      </w:r>
      <w:r>
        <w:rPr>
          <w:rFonts w:ascii="Calibri" w:cs="Calibri" w:eastAsia="Calibri" w:hAnsi="Calibri"/>
          <w:b/>
          <w:bCs/>
          <w:i w:val="false"/>
          <w:iCs w:val="false"/>
          <w:strike w:val="false"/>
          <w:color w:val="000000"/>
          <w:sz w:val="22"/>
          <w:szCs w:val="22"/>
        </w:rPr>
        <w:t xml:space="preserve">testing</w:t>
      </w:r>
      <w:r>
        <w:rPr>
          <w:rFonts w:ascii="Calibri" w:cs="Calibri" w:eastAsia="Calibri" w:hAnsi="Calibri"/>
          <w:b w:val="false"/>
          <w:bCs w:val="false"/>
          <w:i w:val="false"/>
          <w:iCs w:val="false"/>
          <w:strike w:val="false"/>
          <w:color w:val="000000"/>
          <w:sz w:val="22"/>
          <w:szCs w:val="22"/>
        </w:rPr>
        <w:t xml:space="preserve"> (chaos engineering and resilience validation), and </w:t>
      </w:r>
      <w:r>
        <w:rPr>
          <w:rFonts w:ascii="Calibri" w:cs="Calibri" w:eastAsia="Calibri" w:hAnsi="Calibri"/>
          <w:b/>
          <w:bCs/>
          <w:i w:val="false"/>
          <w:iCs w:val="false"/>
          <w:strike w:val="false"/>
          <w:color w:val="000000"/>
          <w:sz w:val="22"/>
          <w:szCs w:val="22"/>
        </w:rPr>
        <w:t xml:space="preserve">recovery</w:t>
      </w:r>
      <w:r>
        <w:rPr>
          <w:rFonts w:ascii="Calibri" w:cs="Calibri" w:eastAsia="Calibri" w:hAnsi="Calibri"/>
          <w:b w:val="false"/>
          <w:bCs w:val="false"/>
          <w:i w:val="false"/>
          <w:iCs w:val="false"/>
          <w:strike w:val="false"/>
          <w:color w:val="000000"/>
          <w:sz w:val="22"/>
          <w:szCs w:val="22"/>
        </w:rPr>
        <w:t xml:space="preserve"> (automated business continuity and remote-first operations). All work products reflect a methodology-driven, evidence-based approach designed for EU critical-sector regulatory environments.</w:t>
      </w:r>
    </w:p>
    <w:p>
      <w:pPr>
        <w:pBdr>
          <w:bottom w:val="single" w:color="0F1B2D"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Unified DORA–ENISA Master Playbook Portfolio</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Ssambra | Identity Auditor &amp; Threat Sentinel | Resilience Architect</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Kitimat, BC, Canada | April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w:t>
      </w:r>
      <w:r>
        <w:rPr>
          <w:rFonts w:ascii="Calibri" w:cs="Calibri" w:eastAsia="Calibri" w:hAnsi="Calibri"/>
          <w:b w:val="false"/>
          <w:bCs w:val="false"/>
          <w:i/>
          <w:iCs/>
          <w:strike w:val="false"/>
          <w:color w:val="000000"/>
          <w:sz w:val="22"/>
          <w:szCs w:val="22"/>
        </w:rPr>
        <w:t xml:space="preserve">All case studies, audit logs, and test results are realistic simulations demonstrating methodology proficiency.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VJ6JYUB3vH7npxPPHFWcZ</dc:title>
  <dc:creator>Un-named</dc:creator>
  <dc:description>Generated document</dc:description>
  <cp:lastModifiedBy>Un-named</cp:lastModifiedBy>
  <cp:revision>1</cp:revision>
  <dcterms:created xsi:type="dcterms:W3CDTF">2026-04-26T06:50:46.753Z</dcterms:created>
  <dcterms:modified xsi:type="dcterms:W3CDTF">2026-04-26T06:50:46.753Z</dcterms:modified>
</cp:coreProperties>
</file>

<file path=docProps/custom.xml><?xml version="1.0" encoding="utf-8"?>
<Properties xmlns="http://schemas.openxmlformats.org/officeDocument/2006/custom-properties" xmlns:vt="http://schemas.openxmlformats.org/officeDocument/2006/docPropsVTypes"/>
</file>