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기초역학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기초역학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이승국 선생님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Fowles의 해석역학 교재에 이승국 선생님께서 좀 더 심층적인 설명을 덧붙이는 방식으로 진행된다.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과제는 연습문제 풀이 제출이다.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오픈북에 어려운 발상을 요구하지 않는 문제들이라 큰 부담이 되지 않는다.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준비는 교과서 연습문제 풀면 좋다.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