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36"/>
          <w:szCs w:val="36"/>
        </w:rPr>
        <w:t xml:space="preserve">Statement of Work</w:t>
      </w:r>
    </w:p>
    <w:p>
      <w:pPr>
        <w:spacing w:after="120"/>
        <w:jc w:val="center"/>
      </w:pPr>
      <w:r>
        <w:rPr>
          <w:b/>
          <w:bCs/>
          <w:sz w:val="28"/>
          <w:szCs w:val="28"/>
        </w:rPr>
        <w:t xml:space="preserve">Legal Matter Clerk — AI Tool for Document-Grounded Legal Work</w:t>
      </w:r>
    </w:p>
    <w:p>
      <w:pPr>
        <w:spacing w:after="600"/>
        <w:jc w:val="center"/>
      </w:pPr>
      <w:r>
        <w:rPr>
          <w:i/>
          <w:iCs/>
          <w:sz w:val="22"/>
          <w:szCs w:val="22"/>
        </w:rPr>
        <w:t xml:space="preserve">This document specifies the inputs, outputs, autonomous processes, and acceptance criteria for the AI tool described in the Project Proposal (Revised Edition). It is the binding technical specification by which the build will be measured complete.</w:t>
      </w:r>
    </w:p>
    <w:p>
      <w:pPr>
        <w:pStyle w:val="Heading1"/>
      </w:pPr>
      <w:r>
        <w:t xml:space="preserve">1. Scope and Purpose</w:t>
      </w:r>
    </w:p>
    <w:p>
      <w:pPr>
        <w:pStyle w:val="Heading2"/>
      </w:pPr>
      <w:r>
        <w:t xml:space="preserve">1.1 In scope</w:t>
      </w:r>
    </w:p>
    <w:p>
      <w:pPr>
        <w:spacing w:after="160"/>
      </w:pPr>
      <w:r>
        <w:t xml:space="preserve">The Legal Matter Clerk is a private AI application that performs document-grounded legal work on individual matters. The tool ingests the documents belonging to a matter (pleadings, contracts, correspondence, exhibits, transcripts, internal notes), maintains a structured Vault for each matter, and performs a fixed set of tasks against those documents and against current Canadian legal authority retrieved from CanLII at query time.</w:t>
      </w:r>
    </w:p>
    <w:p>
      <w:pPr>
        <w:spacing w:after="160"/>
      </w:pPr>
      <w:r>
        <w:t xml:space="preserve">The tool supports ten task types: matter summarization, timeline generation, fact retrieval, entity extraction, clause comparison, legal memo drafting, argument drafting, correspondence drafting, pleadings drafting, and procedure deadline tracking. Each task produces a deliverable with inline citations to the underlying sources.</w:t>
      </w:r>
    </w:p>
    <w:p>
      <w:pPr>
        <w:spacing w:after="160"/>
      </w:pPr>
      <w:r>
        <w:t xml:space="preserve">The Procedure Tracker covers four distinct rule sources across multiple Ontario tribunals and courts: the Rules of Civil Procedure (Ontario Superior Court of Justice), the Rules of the Small Claims Court, the Residential Tenancies Act and its associated rules at the Landlord and Tenant Board, and any applicable Notices to the Profession or practice directions issued by the relevant court. The tool computes deadlines for each rule set, identifies documents required at each stage, and produces source links back to the originating Notice to the Profession where one applies.</w:t>
      </w:r>
    </w:p>
    <w:p>
      <w:pPr>
        <w:spacing w:after="160"/>
      </w:pPr>
      <w:r>
        <w:t xml:space="preserve">When the tool retrieves Canadian case law from CanLII to support analysis, it applies an explicit court hierarchy: Supreme Court of Canada is preferred, then Ontario Court of Appeal, then Ontario Superior Court of Justice, then all other Canadian courts. The tool prioritizes Ontario jurisdiction. Out-of-jurisdiction authority is presented only as a recommendation, clearly labelled as persuasive rather than binding, when no suitable Ontario authority is found.</w:t>
      </w:r>
    </w:p>
    <w:p>
      <w:pPr>
        <w:spacing w:after="160"/>
      </w:pPr>
      <w:r>
        <w:t xml:space="preserve">The tool includes a feedback capture mechanism, a short-term in-session correction loop, and a long-term prompt curator that proposes refinements to task templates based on accumulated user feedback. All curator-proposed changes require explicit user approval before they take effect.</w:t>
      </w:r>
    </w:p>
    <w:p>
      <w:pPr>
        <w:pStyle w:val="Heading2"/>
      </w:pPr>
      <w:r>
        <w:t xml:space="preserve">1.2 Out of scope</w:t>
      </w:r>
    </w:p>
    <w:p>
      <w:pPr>
        <w:pStyle w:val="ListParagraph"/>
        <w:numPr>
          <w:ilvl w:val="0"/>
          <w:numId w:val="2"/>
        </w:numPr>
        <w:spacing w:after="80"/>
      </w:pPr>
      <w:r>
        <w:t xml:space="preserve">Independent legal advice. The tool produces drafts that require lawyer review before any external use.</w:t>
      </w:r>
    </w:p>
    <w:p>
      <w:pPr>
        <w:pStyle w:val="ListParagraph"/>
        <w:numPr>
          <w:ilvl w:val="0"/>
          <w:numId w:val="2"/>
        </w:numPr>
        <w:spacing w:after="80"/>
      </w:pPr>
      <w:r>
        <w:t xml:space="preserve">Live access to LexisNexis, Westlaw, or any other proprietary legal database. The system uses CanLII for Canadian case-law retrieval.</w:t>
      </w:r>
    </w:p>
    <w:p>
      <w:pPr>
        <w:pStyle w:val="ListParagraph"/>
        <w:numPr>
          <w:ilvl w:val="0"/>
          <w:numId w:val="2"/>
        </w:numPr>
        <w:spacing w:after="80"/>
      </w:pPr>
      <w:r>
        <w:t xml:space="preserve">Court filing, calendar sync to third-party practice management systems, or other downstream workflow automation beyond DOCX and ICS export.</w:t>
      </w:r>
    </w:p>
    <w:p>
      <w:pPr>
        <w:pStyle w:val="ListParagraph"/>
        <w:numPr>
          <w:ilvl w:val="0"/>
          <w:numId w:val="2"/>
        </w:numPr>
        <w:spacing w:after="80"/>
      </w:pPr>
      <w:r>
        <w:t xml:space="preserve">Multi-user collaboration, time tracking, billing integration, or any client portal functionality.</w:t>
      </w:r>
    </w:p>
    <w:p>
      <w:pPr>
        <w:pStyle w:val="ListParagraph"/>
        <w:numPr>
          <w:ilvl w:val="0"/>
          <w:numId w:val="2"/>
        </w:numPr>
        <w:spacing w:after="80"/>
      </w:pPr>
      <w:r>
        <w:t xml:space="preserve">Audio transcription, image OCR beyond the parsing of scanned PDFs already covered by Tesseract, and analysis of media files other than text documents.</w:t>
      </w:r>
    </w:p>
    <w:p>
      <w:pPr>
        <w:pStyle w:val="ListParagraph"/>
        <w:numPr>
          <w:ilvl w:val="0"/>
          <w:numId w:val="2"/>
        </w:numPr>
        <w:spacing w:after="80"/>
      </w:pPr>
      <w:r>
        <w:t xml:space="preserve">Replacement of LexisNexis Protégé. The tool replicates a defined subset of capabilities. Where Lexis offers additional capabilities (proprietary editorial commentary, unreported decisions, SOC 2 certification), the tool does not.</w:t>
      </w:r>
    </w:p>
    <w:p>
      <w:pPr>
        <w:pStyle w:val="Heading2"/>
      </w:pPr>
      <w:r>
        <w:t xml:space="preserve">1.3 Stakeholders</w:t>
      </w:r>
    </w:p>
    <w:p>
      <w:pPr>
        <w:pStyle w:val="ListParagraph"/>
        <w:numPr>
          <w:ilvl w:val="0"/>
          <w:numId w:val="2"/>
        </w:numPr>
        <w:spacing w:after="80"/>
      </w:pPr>
      <w:r>
        <w:t xml:space="preserve">Owner / primary user: the legal practitioner who commissions and uses the tool. Final approver of all outputs and prompt-template changes.</w:t>
      </w:r>
    </w:p>
    <w:p>
      <w:pPr>
        <w:pStyle w:val="ListParagraph"/>
        <w:numPr>
          <w:ilvl w:val="0"/>
          <w:numId w:val="2"/>
        </w:numPr>
        <w:spacing w:after="80"/>
      </w:pPr>
      <w:r>
        <w:t xml:space="preserve">Developer: the technical builder responsible for implementation, testing, and acceptance demonstration.</w:t>
      </w:r>
    </w:p>
    <w:p>
      <w:pPr>
        <w:pStyle w:val="ListParagraph"/>
        <w:numPr>
          <w:ilvl w:val="0"/>
          <w:numId w:val="2"/>
        </w:numPr>
        <w:spacing w:after="80"/>
      </w:pPr>
      <w:r>
        <w:t xml:space="preserve">LLM provider: OpenRouter, providing API access to Xiaomi MiMo Pro. Provider data-handling policies as published apply.</w:t>
      </w:r>
    </w:p>
    <w:p>
      <w:pPr>
        <w:pStyle w:val="ListParagraph"/>
        <w:numPr>
          <w:ilvl w:val="0"/>
          <w:numId w:val="2"/>
        </w:numPr>
        <w:spacing w:after="80"/>
      </w:pPr>
      <w:r>
        <w:t xml:space="preserve">Data source: CanLII, for current Canadian case law and the Rules of Civil Procedure. Access is via the public CanLII interface or its paid API.</w:t>
      </w:r>
    </w:p>
    <w:p>
      <w:pPr>
        <w:pStyle w:val="Heading2"/>
      </w:pPr>
      <w:r>
        <w:t xml:space="preserve">1.4 Non-negotiable safety requirements</w:t>
      </w:r>
    </w:p>
    <w:p>
      <w:pPr>
        <w:spacing w:after="160"/>
      </w:pPr>
      <w:r>
        <w:t xml:space="preserve">The following requirements are absolute. They cannot be relaxed by user request, by configuration, or by future feature work. They take precedence over any other requirement in this document.</w:t>
      </w:r>
    </w:p>
    <w:p>
      <w:pPr>
        <w:pStyle w:val="Heading3"/>
      </w:pPr>
      <w:r>
        <w:t xml:space="preserve">1.4.1 No fabricated legal authority</w:t>
      </w:r>
    </w:p>
    <w:p>
      <w:pPr>
        <w:spacing w:after="160"/>
      </w:pPr>
      <w:r>
        <w:t xml:space="preserve">The tool must never produce a case citation, statute citation, regulation citation, rule citation, or any other legal authority that has not been retrieved from a verified source within the current task run. This rule applies regardless of how the user phrases the request, how plausible the fabricated citation would appear, or whether the model has high confidence in its training-data recollection of the authority.</w:t>
      </w:r>
    </w:p>
    <w:p>
      <w:pPr>
        <w:spacing w:after="160"/>
      </w:pPr>
      <w:r>
        <w:t xml:space="preserve">This is enforced by a four-part guard, all four parts of which must be present:</w:t>
      </w:r>
    </w:p>
    <w:p>
      <w:pPr>
        <w:pStyle w:val="ListParagraph"/>
        <w:numPr>
          <w:ilvl w:val="0"/>
          <w:numId w:val="2"/>
        </w:numPr>
        <w:spacing w:after="80"/>
      </w:pPr>
      <w:r>
        <w:rPr>
          <w:b/>
          <w:bCs/>
        </w:rPr>
        <w:t xml:space="preserve">Part 1 — Pre-generation prompt constraint. </w:t>
      </w:r>
      <w:r>
        <w:t xml:space="preserve">Every task template containing or potentially containing legal authority includes an explicit, non-removable system-prompt clause forbidding the model from citing any case, statute, or rule it has not seen in the retrieved context for the current task run. The clause uses categorical language: "You may cite only authority that appears in the retrieved context below. You must not cite any case or statute from memory or general knowledge, even if you are confident of its existence."</w:t>
      </w:r>
    </w:p>
    <w:p>
      <w:pPr>
        <w:pStyle w:val="ListParagraph"/>
        <w:numPr>
          <w:ilvl w:val="0"/>
          <w:numId w:val="2"/>
        </w:numPr>
        <w:spacing w:after="80"/>
      </w:pPr>
      <w:r>
        <w:rPr>
          <w:b/>
          <w:bCs/>
        </w:rPr>
        <w:t xml:space="preserve">Part 2 — Retrieved-context whitelist. </w:t>
      </w:r>
      <w:r>
        <w:t xml:space="preserve">At generation time, the system maintains a whitelist of every authority that appears in the retrieved context for the current task run. Any citation produced by the model that is not on the whitelist is treated as suspect and forced through Part 3 verification before reaching output.</w:t>
      </w:r>
    </w:p>
    <w:p>
      <w:pPr>
        <w:pStyle w:val="ListParagraph"/>
        <w:numPr>
          <w:ilvl w:val="0"/>
          <w:numId w:val="2"/>
        </w:numPr>
        <w:spacing w:after="80"/>
      </w:pPr>
      <w:r>
        <w:rPr>
          <w:b/>
          <w:bCs/>
        </w:rPr>
        <w:t xml:space="preserve">Part 3 — Post-generation verification. </w:t>
      </w:r>
      <w:r>
        <w:t xml:space="preserve">Every citation in every output is verified before output is returned: the cited case or statute exists on CanLII (verified by URL fetch), the quoted passage if any actually appears in the source, the year and jurisdiction match, and the court-hierarchy label is correct. Any citation failing any check is stripped and replaced with [citation needed — please verify].</w:t>
      </w:r>
    </w:p>
    <w:p>
      <w:pPr>
        <w:pStyle w:val="ListParagraph"/>
        <w:numPr>
          <w:ilvl w:val="0"/>
          <w:numId w:val="2"/>
        </w:numPr>
        <w:spacing w:after="80"/>
      </w:pPr>
      <w:r>
        <w:rPr>
          <w:b/>
          <w:bCs/>
        </w:rPr>
        <w:t xml:space="preserve">Part 4 — Audit log retention. </w:t>
      </w:r>
      <w:r>
        <w:t xml:space="preserve">Every stripped citation is logged with its original text, the task that produced it, the user prompt that prompted it, the verification check it failed, and the timestamp. The log is reviewable by the user and is retained indefinitely. Repeated stripping of similar citations triggers a prompt-curator review (per Section 4.7).</w:t>
      </w:r>
    </w:p>
    <w:p>
      <w:pPr>
        <w:spacing w:after="160"/>
      </w:pPr>
      <w:r>
        <w:t xml:space="preserve">If any of the four parts is bypassed, disabled, or fails to operate for any reason, the tool must refuse to produce output. There is no degraded mode.</w:t>
      </w:r>
    </w:p>
    <w:p>
      <w:pPr>
        <w:pStyle w:val="Heading3"/>
      </w:pPr>
      <w:r>
        <w:t xml:space="preserve">1.4.2 No fabricated causes of action, legal elements, or procedural rules</w:t>
      </w:r>
    </w:p>
    <w:p>
      <w:pPr>
        <w:spacing w:after="160"/>
      </w:pPr>
      <w:r>
        <w:t xml:space="preserve">The same four-part guard applies to: causes of action and their elements (e.g., the elements of negligence, breach of contract, oppression); statutory tests and their components (e.g., the test for an interlocutory injunction); procedural rules and computed deadlines; and any other proposition presented as a statement of law. The model must not state the elements of a tort, the test for a remedy, the requirements of a statutory cause of action, or the contents of a procedural rule from memory. Each must be grounded in retrieved authority, and that retrieved authority must itself be verifiable on CanLII or the authoritative source identified in Section 4.5.1.</w:t>
      </w:r>
    </w:p>
    <w:p>
      <w:pPr>
        <w:pStyle w:val="Heading3"/>
      </w:pPr>
      <w:r>
        <w:t xml:space="preserve">1.4.3 No filed pleadings, no final pleadings</w:t>
      </w:r>
    </w:p>
    <w:p>
      <w:pPr>
        <w:spacing w:after="160"/>
      </w:pPr>
      <w:r>
        <w:t xml:space="preserve">When the tool produces pleadings (Statement of Claim, Statement of Defence, Plaintiff's Claim, Defence — per Section 3 of this SoW), it produces first drafts only. Every pleading output is marked prominently as a draft and includes a non-removable cover note stating that the document has not been reviewed by counsel, that limitation periods and statutory deadlines remain the user's responsibility, that admissions and pleadings-related consequences (including deemed admissions) require lawyer judgment, and that the pleading must not be filed or served without lawyer review. The tool does not provide a filing or serving function, and does not produce a court-form-formatted document without the draft watermark and cover note.</w:t>
      </w:r>
    </w:p>
    <w:p>
      <w:pPr>
        <w:pStyle w:val="Heading3"/>
      </w:pPr>
      <w:r>
        <w:t xml:space="preserve">1.4.4 No legal advice to non-lawyers</w:t>
      </w:r>
    </w:p>
    <w:p>
      <w:pPr>
        <w:spacing w:after="160"/>
      </w:pPr>
      <w:r>
        <w:t xml:space="preserve">If the user identifies as a self-represented litigant or otherwise indicates they are not a lawyer, the tool's outputs include a prominent notice that the output is information, not legal advice, and that the user should consult a lawyer before relying on any output. This notice is required for all tasks under this condition, not only pleadings.</w:t>
      </w:r>
    </w:p>
    <w:p>
      <w:r>
        <w:br w:type="page"/>
      </w:r>
    </w:p>
    <w:p>
      <w:pPr>
        <w:pStyle w:val="Heading1"/>
      </w:pPr>
      <w:r>
        <w:t xml:space="preserve">2. Inputs</w:t>
      </w:r>
    </w:p>
    <w:p>
      <w:pPr>
        <w:pStyle w:val="Heading2"/>
      </w:pPr>
      <w:r>
        <w:t xml:space="preserve">2.1 Matter creation inputs (per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Input</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Matter name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Free-text identifier (e.g., "Smith v Jones — wrongful dismissal").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Jurisdiction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Canadian jurisdiction code (e.g., ON, BC, AB, QC, Federal). Drives Rules-of-Civil-Procedure retrieval for the Procedure Tracker.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Forum / tribunal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Drives which rule set applies to the Procedure Tracker. One of: Superior Court of Justice (Rules of Civil Procedure), Small Claims Court (Rules of the Small Claims Court), Landlord and Tenant Board (Residential Tenancies Act and LTB Rules), Court of Appeal, Federal Court, or Other.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Proceeding type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Optional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Subtype within the chosen forum. For Superior Court: simplified procedure, ordinary procedure, application, summary judgment motion, etc. For Small Claims: defended claim, default judgment, settlement conference, etc. For LTB: L1, L2, L3, L9, T2, T6, etc. Drives precise deadline calculation.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Matter brief</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Optional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Short user-written description of parties, key dates already known, and what the matter is trying to accomplish. Used to seed task prompts.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Document files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 (at least one)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PDF (native or scanned), DOCX, EML, or TXT. Maximum 500 files per matter to align with the Lexis+ AI Vault limit. Maximum per-file size: 100 MB.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Key trigger dates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Conditional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Required only when the Procedure Tracker is used. E.g., date of service of statement of claim, date motion filed.</w:t>
            </w:r>
          </w:p>
        </w:tc>
      </w:tr>
    </w:tbl>
    <w:p>
      <w:pPr>
        <w:spacing w:after="160"/>
      </w:pPr>
      <w:r>
        <w:t xml:space="preserve"/>
      </w:r>
    </w:p>
    <w:p>
      <w:pPr>
        <w:pStyle w:val="Heading2"/>
      </w:pPr>
      <w:r>
        <w:t xml:space="preserve">2.2 Per-query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Input</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Task type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One of: Summarize, Timeline, Find Facts, Find Entities, Compare Clauses, Draft Memo, Draft Argument, Draft Correspondence, Draft Pleading, Procedure Tracker.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User question or instruction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Free-text input describing what the user wants from the task.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Authority mode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One of: Matter-only (no external authority), CanLII-augmented (cite verified CanLII authority where helpful), or General (allow general legal-knowledge claims without verification — drafts only, never recommended for output).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Jurisdiction preference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Optional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Defaults to Ontario. When set to Ontario (the default), the system applies the court hierarchy described in Section 4.3.1 and only returns out-of-jurisdiction authority as a labelled recommendation. Can be widened to All Canadian Jurisdictions where the user wants a broader sweep from the start.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Document scope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Optional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Subset of matter documents to consider. Defaults to all documents in the matter.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Pleading type (Draft Pleading only)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 for pleading tasks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One of: Statement of Claim (Superior Court), Statement of Defence (Superior Court), Plaintiff's Claim Form 7A (Small Claims), Defence Form 9A (Small Claims). Drives the form template, the required content elements, and the rule citations the tool consults.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Party role (Draft Pleading only)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 for pleading tasks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Plaintiff or Defendant. For Statement of Defence and Defence Form 9A, the user must also supply the opposing party's pleading as a matter document — the tool refuses to draft a defence without 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Claim particulars (Draft Pleading only)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 for plaintiff pleadings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Free-text or structured input describing the causes of action being advanced, the relief sought, the material facts, and the parties. For Statement of Claim and Plaintiff's Claim, this is the user's intake material. The tool drafts only from supplied particulars plus matter documents; it does not invent claims the user did not raise.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User capacity declaration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Required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User identifies as one of: Lawyer / Paralegal / Self-represented litigant / Other. The selection triggers the corresponding output notices per Section 1.4.4.</w:t>
            </w:r>
          </w:p>
        </w:tc>
      </w:tr>
    </w:tbl>
    <w:p>
      <w:pPr>
        <w:spacing w:after="160"/>
      </w:pPr>
      <w:r>
        <w:t xml:space="preserve"/>
      </w:r>
    </w:p>
    <w:p>
      <w:pPr>
        <w:pStyle w:val="Heading2"/>
      </w:pPr>
      <w:r>
        <w:t xml:space="preserve">2.3 Feedback inputs</w:t>
      </w:r>
    </w:p>
    <w:p>
      <w:pPr>
        <w:pStyle w:val="ListParagraph"/>
        <w:numPr>
          <w:ilvl w:val="0"/>
          <w:numId w:val="2"/>
        </w:numPr>
        <w:spacing w:after="80"/>
      </w:pPr>
      <w:r>
        <w:t xml:space="preserve">Per-section rating: thumbs up or thumbs down on each section of a generated output.</w:t>
      </w:r>
    </w:p>
    <w:p>
      <w:pPr>
        <w:pStyle w:val="ListParagraph"/>
        <w:numPr>
          <w:ilvl w:val="0"/>
          <w:numId w:val="2"/>
        </w:numPr>
        <w:spacing w:after="80"/>
      </w:pPr>
      <w:r>
        <w:t xml:space="preserve">Free-text correction: "this is wrong because…" field. Stored alongside the original output.</w:t>
      </w:r>
    </w:p>
    <w:p>
      <w:pPr>
        <w:pStyle w:val="ListParagraph"/>
        <w:numPr>
          <w:ilvl w:val="0"/>
          <w:numId w:val="2"/>
        </w:numPr>
        <w:spacing w:after="80"/>
      </w:pPr>
      <w:r>
        <w:t xml:space="preserve">Correction-driven revision: a button that triggers a regeneration with the correction included in the prompt context.</w:t>
      </w:r>
    </w:p>
    <w:p>
      <w:pPr>
        <w:pStyle w:val="ListParagraph"/>
        <w:numPr>
          <w:ilvl w:val="0"/>
          <w:numId w:val="2"/>
        </w:numPr>
        <w:spacing w:after="80"/>
      </w:pPr>
      <w:r>
        <w:t xml:space="preserve">Curator approval: per-prompt-diff acceptance or rejection, applied when the prompt curator proposes refinements to a task template.</w:t>
      </w:r>
    </w:p>
    <w:p>
      <w:r>
        <w:br w:type="page"/>
      </w:r>
    </w:p>
    <w:p>
      <w:pPr>
        <w:pStyle w:val="Heading1"/>
      </w:pPr>
      <w:r>
        <w:t xml:space="preserve">3. Outputs</w:t>
      </w:r>
    </w:p>
    <w:p>
      <w:pPr>
        <w:spacing w:after="160"/>
      </w:pPr>
      <w:r>
        <w:t xml:space="preserve">All outputs use a consistent citation format: square-bracket inline references such as [Pleadings_2024-03-15.pdf p.4] for matter documents, and [Smith v Jones, 2023 ONCA 412 at para 17] for CanLII authorities with the underlying URL preserved in the rendered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Task</w:t>
            </w:r>
          </w:p>
        </w:tc>
        <w:tc>
          <w:tcPr>
            <w:tcW w:type="dxa" w:w="4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Output content</w:t>
            </w:r>
          </w:p>
        </w:tc>
        <w:tc>
          <w:tcPr>
            <w:tcW w:type="dxa" w:w="2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Format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Summarize matter</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Plain-language overview: parties, nature of dispute, key documents, principal facts in dispute, current procedural posture. Every sentence carrying a factual claim is cited.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with inline citations; DOCX export.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Generate timeline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Chronological events table: Date, Event description, Source citation, Procedural significance (if any).</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table; DOCX export; optional ICS calendar export.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Find facts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Direct answer to the user question, with quoted snippets and page citations from matter documents. Refuses to answer if no supporting evidence is found.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with inline citations; copy to clipboard.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Find entities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Structured lists (parties, dates, dollar amounts, addresses, organizations) with frequency counts and source page references.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table; CSV export.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Compare clauses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Side-by-side comparison table of clauses or terms across two or more documents, with differences highlighted and a summary of substantive variations.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side-by-side table; DOCX export.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Draft memo</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Issue / Facts / Analysis / Conclusion structure. Facts cited to matter documents; analysis citations only from verified CanLII authority when CanLII-augmented mode is selected.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with inline citations; DOCX export following standard memo template.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Draft argument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Structured argument supporting or opposing a position. Facts cited to matter documents; authorities cited only to verified CanLII URLs.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with inline citations; DOCX export.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Draft correspondence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Client-ready letter or email body. References to matter documents where relevant. No external authority cited unless the user requests it.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DOCX export; plain-text for paste into email.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Draft pleading</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val="false"/>
                <w:bCs w:val="false"/>
                <w:i w:val="false"/>
                <w:iCs w:val="false"/>
                <w:sz w:val="20"/>
                <w:szCs w:val="20"/>
              </w:rPr>
              <w:t xml:space="preserve">First-draft pleading in one of four forms: Statement of Claim (Superior Court), Statement of Defence (Superior Court), Plaintiff's Claim (Small Claims Form 7A), or Defence (Small Claims Form 9A).</w:t>
            </w:r>
          </w:p>
          <w:p>
            <w:pPr>
              <w:spacing w:after="60"/>
            </w:pPr>
            <w:r>
              <w:rPr>
                <w:b w:val="false"/>
                <w:bCs w:val="false"/>
                <w:i w:val="false"/>
                <w:iCs w:val="false"/>
                <w:sz w:val="20"/>
                <w:szCs w:val="20"/>
              </w:rPr>
              <w:t xml:space="preserve">Structure follows the Rules of Civil Procedure or Rules of the Small Claims Court as applicable: parties heading, claim/relief sought, material facts with paragraph numbering, references to causes of action with elements grounded in retrieved CanLII authority, and the standard concluding boilerplate.</w:t>
            </w:r>
          </w:p>
          <w:p>
            <w:pPr>
              <w:spacing w:after="60"/>
            </w:pPr>
            <w:r>
              <w:rPr>
                <w:b w:val="false"/>
                <w:bCs w:val="false"/>
                <w:i w:val="false"/>
                <w:iCs w:val="false"/>
                <w:sz w:val="20"/>
                <w:szCs w:val="20"/>
              </w:rPr>
              <w:t xml:space="preserve">Every material fact cited to a matter document. Every cause of action and its elements grounded in retrieved authority — never asserted from training-data memory. Outputs are watermarked DRAFT and include the non-removable cover note per Section 1.4.3.</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with inline citations; DOCX export formatted to match the applicable court form. Filing-ready formatting is intentionally NOT provided.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Procedure tracker</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Deadline calendar derived from the applicable rule set — Rules of Civil Procedure (Superior Court), Rules of the Small Claims Court, Residential Tenancies Act and LTB Rules, and any in-force Notice to the Profession or practice direction. Each entry includes: forum and rule citation, computed date, holiday adjustment, status (upcoming / approaching / overdue), required documents at that stage (e.g., affidavit of documents, notice of motion, factum), and a URL link back to the source Notice to the Profession where one modifies the deadline or procedure.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Markdown table; ICS file for calendar import; DOCX export for litigation plan.</w:t>
            </w:r>
          </w:p>
        </w:tc>
      </w:tr>
    </w:tbl>
    <w:p>
      <w:pPr>
        <w:spacing w:after="160"/>
      </w:pPr>
      <w:r>
        <w:t xml:space="preserve"/>
      </w:r>
    </w:p>
    <w:p>
      <w:pPr>
        <w:pStyle w:val="Heading2"/>
      </w:pPr>
      <w:r>
        <w:t xml:space="preserve">3.1 Universal output requirements</w:t>
      </w:r>
    </w:p>
    <w:p>
      <w:pPr>
        <w:pStyle w:val="ListParagraph"/>
        <w:numPr>
          <w:ilvl w:val="0"/>
          <w:numId w:val="2"/>
        </w:numPr>
        <w:spacing w:after="80"/>
      </w:pPr>
      <w:r>
        <w:t xml:space="preserve">Every claim of fact carries an inline citation to the source document and page.</w:t>
      </w:r>
    </w:p>
    <w:p>
      <w:pPr>
        <w:pStyle w:val="ListParagraph"/>
        <w:numPr>
          <w:ilvl w:val="0"/>
          <w:numId w:val="2"/>
        </w:numPr>
        <w:spacing w:after="80"/>
      </w:pPr>
      <w:r>
        <w:t xml:space="preserve">Every legal authority cited is verified to exist on CanLII before output, per the four-part guard in Section 1.4.1. Unverified authorities are stripped and replaced with a [citation needed — please verify] placeholder.</w:t>
      </w:r>
    </w:p>
    <w:p>
      <w:pPr>
        <w:pStyle w:val="ListParagraph"/>
        <w:numPr>
          <w:ilvl w:val="0"/>
          <w:numId w:val="2"/>
        </w:numPr>
        <w:spacing w:after="80"/>
      </w:pPr>
      <w:r>
        <w:t xml:space="preserve">Every quoted passage is verified to appear in the cited source. Quotes that cannot be verified are stripped.</w:t>
      </w:r>
    </w:p>
    <w:p>
      <w:pPr>
        <w:pStyle w:val="ListParagraph"/>
        <w:numPr>
          <w:ilvl w:val="0"/>
          <w:numId w:val="2"/>
        </w:numPr>
        <w:spacing w:after="80"/>
      </w:pPr>
      <w:r>
        <w:t xml:space="preserve">Every cause of action, statutory test, or procedural rule referenced is grounded in retrieved authority, per Section 1.4.2. The model does not state legal tests or elements from training-data memory.</w:t>
      </w:r>
    </w:p>
    <w:p>
      <w:pPr>
        <w:pStyle w:val="ListParagraph"/>
        <w:numPr>
          <w:ilvl w:val="0"/>
          <w:numId w:val="2"/>
        </w:numPr>
        <w:spacing w:after="80"/>
      </w:pPr>
      <w:r>
        <w:t xml:space="preserve">Pleading outputs carry the DRAFT watermark and the non-removable cover note per Section 1.4.3.</w:t>
      </w:r>
    </w:p>
    <w:p>
      <w:pPr>
        <w:pStyle w:val="ListParagraph"/>
        <w:numPr>
          <w:ilvl w:val="0"/>
          <w:numId w:val="2"/>
        </w:numPr>
        <w:spacing w:after="80"/>
      </w:pPr>
      <w:r>
        <w:t xml:space="preserve">Self-represented and non-lawyer users receive the information-not-advice notice on every output per Section 1.4.4.</w:t>
      </w:r>
    </w:p>
    <w:p>
      <w:pPr>
        <w:pStyle w:val="ListParagraph"/>
        <w:numPr>
          <w:ilvl w:val="0"/>
          <w:numId w:val="2"/>
        </w:numPr>
        <w:spacing w:after="80"/>
      </w:pPr>
      <w:r>
        <w:t xml:space="preserve">Outputs disclose the model version, the retrieval mode used, and the timestamp of any external retrieval, for audit purposes.</w:t>
      </w:r>
    </w:p>
    <w:p>
      <w:pPr>
        <w:pStyle w:val="ListParagraph"/>
        <w:numPr>
          <w:ilvl w:val="0"/>
          <w:numId w:val="2"/>
        </w:numPr>
        <w:spacing w:after="80"/>
      </w:pPr>
      <w:r>
        <w:t xml:space="preserve">Outputs in matter-only mode contain no claim of external authority. Any drift into general legal commentary is treated as a defect.</w:t>
      </w:r>
    </w:p>
    <w:p>
      <w:r>
        <w:br w:type="page"/>
      </w:r>
    </w:p>
    <w:p>
      <w:pPr>
        <w:pStyle w:val="Heading1"/>
      </w:pPr>
      <w:r>
        <w:t xml:space="preserve">4. Autonomous Processes</w:t>
      </w:r>
    </w:p>
    <w:p>
      <w:pPr>
        <w:spacing w:after="160"/>
      </w:pPr>
      <w:r>
        <w:t xml:space="preserve">Autonomous processes are operations the tool performs without the user issuing a direct command, either during ingestion, during a task run, or on a schedule. Each process is specified with its trigger, behaviour, and termination condition.</w:t>
      </w:r>
    </w:p>
    <w:p>
      <w:pPr>
        <w:pStyle w:val="Heading2"/>
      </w:pPr>
      <w:r>
        <w:t xml:space="preserve">4.1 Document ingestion pipeline</w:t>
      </w:r>
    </w:p>
    <w:p>
      <w:pPr>
        <w:pStyle w:val="ListParagraph"/>
        <w:numPr>
          <w:ilvl w:val="0"/>
          <w:numId w:val="2"/>
        </w:numPr>
        <w:spacing w:after="80"/>
      </w:pPr>
      <w:r>
        <w:rPr>
          <w:b/>
          <w:bCs/>
        </w:rPr>
        <w:t xml:space="preserve">Trigger: </w:t>
      </w:r>
      <w:r>
        <w:t xml:space="preserve">User uploads one or more files to a matter.</w:t>
      </w:r>
    </w:p>
    <w:p>
      <w:pPr>
        <w:pStyle w:val="ListParagraph"/>
        <w:numPr>
          <w:ilvl w:val="0"/>
          <w:numId w:val="2"/>
        </w:numPr>
        <w:spacing w:after="80"/>
      </w:pPr>
      <w:r>
        <w:rPr>
          <w:b/>
          <w:bCs/>
        </w:rPr>
        <w:t xml:space="preserve">Behaviour: </w:t>
      </w:r>
      <w:r>
        <w:t xml:space="preserve">Each file is parsed to text (pypdf for native PDFs, pytesseract + pdf2image for scanned PDFs, python-docx for Word, mailparser for emails). Text is split into chunks of 600 to 800 tokens with approximately 100-token overlap. Each chunk is tagged with source filename and page number. Chunks are embedded with a local model and stored in the vector database.</w:t>
      </w:r>
    </w:p>
    <w:p>
      <w:pPr>
        <w:pStyle w:val="ListParagraph"/>
        <w:numPr>
          <w:ilvl w:val="0"/>
          <w:numId w:val="2"/>
        </w:numPr>
        <w:spacing w:after="80"/>
      </w:pPr>
      <w:r>
        <w:rPr>
          <w:b/>
          <w:bCs/>
        </w:rPr>
        <w:t xml:space="preserve">Termination: </w:t>
      </w:r>
      <w:r>
        <w:t xml:space="preserve">Process completes when all uploaded files are parsed, chunked, and embedded, or fails with a per-file error report if any file cannot be parsed.</w:t>
      </w:r>
    </w:p>
    <w:p>
      <w:pPr>
        <w:pStyle w:val="ListParagraph"/>
        <w:numPr>
          <w:ilvl w:val="0"/>
          <w:numId w:val="2"/>
        </w:numPr>
        <w:spacing w:after="80"/>
      </w:pPr>
      <w:r>
        <w:rPr>
          <w:b/>
          <w:bCs/>
        </w:rPr>
        <w:t xml:space="preserve">User visibility: </w:t>
      </w:r>
      <w:r>
        <w:t xml:space="preserve">Progress bar per file. Errors surface immediately.</w:t>
      </w:r>
    </w:p>
    <w:p>
      <w:pPr>
        <w:pStyle w:val="Heading2"/>
      </w:pPr>
      <w:r>
        <w:t xml:space="preserve">4.2 Retrieval routing</w:t>
      </w:r>
    </w:p>
    <w:p>
      <w:pPr>
        <w:pStyle w:val="ListParagraph"/>
        <w:numPr>
          <w:ilvl w:val="0"/>
          <w:numId w:val="2"/>
        </w:numPr>
        <w:spacing w:after="80"/>
      </w:pPr>
      <w:r>
        <w:rPr>
          <w:b/>
          <w:bCs/>
        </w:rPr>
        <w:t xml:space="preserve">Trigger: </w:t>
      </w:r>
      <w:r>
        <w:t xml:space="preserve">User runs a task.</w:t>
      </w:r>
    </w:p>
    <w:p>
      <w:pPr>
        <w:pStyle w:val="ListParagraph"/>
        <w:numPr>
          <w:ilvl w:val="0"/>
          <w:numId w:val="2"/>
        </w:numPr>
        <w:spacing w:after="80"/>
      </w:pPr>
      <w:r>
        <w:rPr>
          <w:b/>
          <w:bCs/>
        </w:rPr>
        <w:t xml:space="preserve">Behaviour: </w:t>
      </w:r>
      <w:r>
        <w:t xml:space="preserve">For matters whose total parsed token count is below 600,000, full matter text is loaded into MiMo Pro's context. For larger matters, a semantic search retrieves the top 30 to 50 most relevant chunks based on the user's question.</w:t>
      </w:r>
    </w:p>
    <w:p>
      <w:pPr>
        <w:pStyle w:val="ListParagraph"/>
        <w:numPr>
          <w:ilvl w:val="0"/>
          <w:numId w:val="2"/>
        </w:numPr>
        <w:spacing w:after="80"/>
      </w:pPr>
      <w:r>
        <w:rPr>
          <w:b/>
          <w:bCs/>
        </w:rPr>
        <w:t xml:space="preserve">Termination: </w:t>
      </w:r>
      <w:r>
        <w:t xml:space="preserve">Context payload is assembled and forwarded to the reasoning step.</w:t>
      </w:r>
    </w:p>
    <w:p>
      <w:pPr>
        <w:pStyle w:val="ListParagraph"/>
        <w:numPr>
          <w:ilvl w:val="0"/>
          <w:numId w:val="2"/>
        </w:numPr>
        <w:spacing w:after="80"/>
      </w:pPr>
      <w:r>
        <w:rPr>
          <w:b/>
          <w:bCs/>
        </w:rPr>
        <w:t xml:space="preserve">User visibility: </w:t>
      </w:r>
      <w:r>
        <w:t xml:space="preserve">Token count and retrieval mode are displayed in the task progress panel.</w:t>
      </w:r>
    </w:p>
    <w:p>
      <w:pPr>
        <w:pStyle w:val="Heading2"/>
      </w:pPr>
      <w:r>
        <w:t xml:space="preserve">4.3 CanLII retrieval with court hierarchy (CanLII-augmented mode only)</w:t>
      </w:r>
    </w:p>
    <w:p>
      <w:pPr>
        <w:pStyle w:val="ListParagraph"/>
        <w:numPr>
          <w:ilvl w:val="0"/>
          <w:numId w:val="2"/>
        </w:numPr>
        <w:spacing w:after="80"/>
      </w:pPr>
      <w:r>
        <w:rPr>
          <w:b/>
          <w:bCs/>
        </w:rPr>
        <w:t xml:space="preserve">Trigger: </w:t>
      </w:r>
      <w:r>
        <w:t xml:space="preserve">MiMo Pro identifies, during task execution, that a legal authority is needed to support a proposition.</w:t>
      </w:r>
    </w:p>
    <w:p>
      <w:pPr>
        <w:pStyle w:val="ListParagraph"/>
        <w:numPr>
          <w:ilvl w:val="0"/>
          <w:numId w:val="2"/>
        </w:numPr>
        <w:spacing w:after="80"/>
      </w:pPr>
      <w:r>
        <w:rPr>
          <w:b/>
          <w:bCs/>
        </w:rPr>
        <w:t xml:space="preserve">Behaviour: </w:t>
      </w:r>
      <w:r>
        <w:t xml:space="preserve">The tool queries CanLII for matching cases or statutes using a structured search formed from the proposition. Results are filtered and re-ranked according to the court hierarchy in Section 4.3.1 before being passed to MiMo Pro. The model is instructed to cite only from the retrieved material and to prefer higher-ranked authority when more than one supports the same proposition.</w:t>
      </w:r>
    </w:p>
    <w:p>
      <w:pPr>
        <w:pStyle w:val="ListParagraph"/>
        <w:numPr>
          <w:ilvl w:val="0"/>
          <w:numId w:val="2"/>
        </w:numPr>
        <w:spacing w:after="80"/>
      </w:pPr>
      <w:r>
        <w:rPr>
          <w:b/>
          <w:bCs/>
        </w:rPr>
        <w:t xml:space="preserve">Termination: </w:t>
      </w:r>
      <w:r>
        <w:t xml:space="preserve">Up to 5 retrieval cycles per task run. Each cycle costs additional API tokens; the cycle budget caps cost.</w:t>
      </w:r>
    </w:p>
    <w:p>
      <w:pPr>
        <w:pStyle w:val="ListParagraph"/>
        <w:numPr>
          <w:ilvl w:val="0"/>
          <w:numId w:val="2"/>
        </w:numPr>
        <w:spacing w:after="80"/>
      </w:pPr>
      <w:r>
        <w:rPr>
          <w:b/>
          <w:bCs/>
        </w:rPr>
        <w:t xml:space="preserve">User visibility: </w:t>
      </w:r>
      <w:r>
        <w:t xml:space="preserve">The retrieval log is exposed in the output detail panel: search query used, sources fetched, ranking applied, sources cited in the final output.</w:t>
      </w:r>
    </w:p>
    <w:p>
      <w:pPr>
        <w:pStyle w:val="Heading3"/>
      </w:pPr>
      <w:r>
        <w:t xml:space="preserve">4.3.1 Court ranking hierarchy</w:t>
      </w:r>
    </w:p>
    <w:p>
      <w:pPr>
        <w:spacing w:after="160"/>
      </w:pPr>
      <w:r>
        <w:t xml:space="preserve">All retrieval, ranking, and citation selection follows this fixed hierarchy. Authority higher on the list is preferred. The system never cites a lower-ranked authority where a higher-ranked authority is available and on point.</w:t>
      </w:r>
    </w:p>
    <w:p>
      <w:pPr>
        <w:pStyle w:val="ListParagraph"/>
        <w:numPr>
          <w:ilvl w:val="0"/>
          <w:numId w:val="3"/>
        </w:numPr>
        <w:spacing w:after="80"/>
      </w:pPr>
      <w:r>
        <w:t xml:space="preserve">Supreme Court of Canada (SCC) — binding on all Canadian courts, highest preference.</w:t>
      </w:r>
    </w:p>
    <w:p>
      <w:pPr>
        <w:pStyle w:val="ListParagraph"/>
        <w:numPr>
          <w:ilvl w:val="0"/>
          <w:numId w:val="3"/>
        </w:numPr>
        <w:spacing w:after="80"/>
      </w:pPr>
      <w:r>
        <w:t xml:space="preserve">Ontario Court of Appeal (ONCA) — binding in Ontario.</w:t>
      </w:r>
    </w:p>
    <w:p>
      <w:pPr>
        <w:pStyle w:val="ListParagraph"/>
        <w:numPr>
          <w:ilvl w:val="0"/>
          <w:numId w:val="3"/>
        </w:numPr>
        <w:spacing w:after="80"/>
      </w:pPr>
      <w:r>
        <w:t xml:space="preserve">Ontario Superior Court of Justice (ONSC) and Divisional Court — persuasive within Ontario.</w:t>
      </w:r>
    </w:p>
    <w:p>
      <w:pPr>
        <w:pStyle w:val="ListParagraph"/>
        <w:numPr>
          <w:ilvl w:val="0"/>
          <w:numId w:val="3"/>
        </w:numPr>
        <w:spacing w:after="80"/>
      </w:pPr>
      <w:r>
        <w:t xml:space="preserve">All other Canadian courts (other provincial courts of appeal, superior courts, Federal Court, specialised tribunals) — persuasive only.</w:t>
      </w:r>
    </w:p>
    <w:p>
      <w:pPr>
        <w:spacing w:after="160"/>
      </w:pPr>
      <w:r>
        <w:t xml:space="preserve">The user's jurisdiction preference defaults to Ontario. When set to Ontario, the tool exhausts Ontario authority (levels 1–3) before reaching out-of-jurisdiction authority. Any out-of-jurisdiction authority that does surface is labelled explicitly as a recommendation rather than binding authority. The label appears both in the inline citation and in the explanatory text.</w:t>
      </w:r>
    </w:p>
    <w:p>
      <w:pPr>
        <w:spacing w:after="160"/>
      </w:pPr>
      <w:r>
        <w:t xml:space="preserve">When no on-point Ontario authority is found at any level, the tool may surface persuasive out-of-province authority — preferring (in order) other provincial courts of appeal, then provincial superior courts — with the label "persuasive only — no Ontario authority located on this point." The user must explicitly accept this in the output before any draft incorporating only out-of-jurisdiction authority is finalized.</w:t>
      </w:r>
    </w:p>
    <w:p>
      <w:pPr>
        <w:pStyle w:val="Heading2"/>
      </w:pPr>
      <w:r>
        <w:t xml:space="preserve">4.4 Citation verification (mandatory before output)</w:t>
      </w:r>
    </w:p>
    <w:p>
      <w:pPr>
        <w:pStyle w:val="ListParagraph"/>
        <w:numPr>
          <w:ilvl w:val="0"/>
          <w:numId w:val="2"/>
        </w:numPr>
        <w:spacing w:after="80"/>
      </w:pPr>
      <w:r>
        <w:rPr>
          <w:b/>
          <w:bCs/>
        </w:rPr>
        <w:t xml:space="preserve">Trigger: </w:t>
      </w:r>
      <w:r>
        <w:t xml:space="preserve">Every task run, immediately before output is returned to the user.</w:t>
      </w:r>
    </w:p>
    <w:p>
      <w:pPr>
        <w:pStyle w:val="ListParagraph"/>
        <w:numPr>
          <w:ilvl w:val="0"/>
          <w:numId w:val="2"/>
        </w:numPr>
        <w:spacing w:after="80"/>
      </w:pPr>
      <w:r>
        <w:rPr>
          <w:b/>
          <w:bCs/>
        </w:rPr>
        <w:t xml:space="preserve">Behaviour: </w:t>
      </w:r>
      <w:r>
        <w:t xml:space="preserve">For each citation in the draft: (a) verify the cited case or statute exists on CanLII by URL fetch; (b) verify the quoted passage, if any, appears in the source text; (c) verify the year and jurisdiction match; (d) verify the court hierarchy label (binding vs persuasive) attached to the citation is correct given the user's jurisdiction preference. Any citation failing any check is stripped and replaced with [citation needed — please verify]. The output is annotated with a count of stripped citations.</w:t>
      </w:r>
    </w:p>
    <w:p>
      <w:pPr>
        <w:pStyle w:val="ListParagraph"/>
        <w:numPr>
          <w:ilvl w:val="0"/>
          <w:numId w:val="2"/>
        </w:numPr>
        <w:spacing w:after="80"/>
      </w:pPr>
      <w:r>
        <w:rPr>
          <w:b/>
          <w:bCs/>
        </w:rPr>
        <w:t xml:space="preserve">Termination: </w:t>
      </w:r>
      <w:r>
        <w:t xml:space="preserve">All citations processed.</w:t>
      </w:r>
    </w:p>
    <w:p>
      <w:pPr>
        <w:pStyle w:val="ListParagraph"/>
        <w:numPr>
          <w:ilvl w:val="0"/>
          <w:numId w:val="2"/>
        </w:numPr>
        <w:spacing w:after="80"/>
      </w:pPr>
      <w:r>
        <w:rPr>
          <w:b/>
          <w:bCs/>
        </w:rPr>
        <w:t xml:space="preserve">User visibility: </w:t>
      </w:r>
      <w:r>
        <w:t xml:space="preserve">Strip count displayed in output header (e.g., "3 unverified citations removed"). Detail log available on click.</w:t>
      </w:r>
    </w:p>
    <w:p>
      <w:pPr>
        <w:pStyle w:val="Heading2"/>
      </w:pPr>
      <w:r>
        <w:t xml:space="preserve">4.5 Procedure rule retrieval (Procedure Tracker, all four rule sources)</w:t>
      </w:r>
    </w:p>
    <w:p>
      <w:pPr>
        <w:pStyle w:val="ListParagraph"/>
        <w:numPr>
          <w:ilvl w:val="0"/>
          <w:numId w:val="2"/>
        </w:numPr>
        <w:spacing w:after="80"/>
      </w:pPr>
      <w:r>
        <w:rPr>
          <w:b/>
          <w:bCs/>
        </w:rPr>
        <w:t xml:space="preserve">Trigger: </w:t>
      </w:r>
      <w:r>
        <w:t xml:space="preserve">User runs Procedure Tracker for a matter.</w:t>
      </w:r>
    </w:p>
    <w:p>
      <w:pPr>
        <w:pStyle w:val="ListParagraph"/>
        <w:numPr>
          <w:ilvl w:val="0"/>
          <w:numId w:val="2"/>
        </w:numPr>
        <w:spacing w:after="80"/>
      </w:pPr>
      <w:r>
        <w:rPr>
          <w:b/>
          <w:bCs/>
        </w:rPr>
        <w:t xml:space="preserve">Behaviour: </w:t>
      </w:r>
      <w:r>
        <w:t xml:space="preserve">Based on the matter's Forum field, the tool selects the applicable rule source and retrieves its current text from authoritative sources at run time. The tool then identifies and retrieves any in-force Notice to the Profession or practice direction that modifies the standard rule for the given forum. MiMo Pro is prompted to extract the rule text relevant to each deadline category, compute deadlines from the fetched text with rule citations embedded, list the required documents at each stage, and produce source URLs back to any controlling Notice to the Profession. The tool adjusts deadlines for Canadian statutory holidays and the applicable forum's specific holiday schedule.</w:t>
      </w:r>
    </w:p>
    <w:p>
      <w:pPr>
        <w:pStyle w:val="ListParagraph"/>
        <w:numPr>
          <w:ilvl w:val="0"/>
          <w:numId w:val="2"/>
        </w:numPr>
        <w:spacing w:after="80"/>
      </w:pPr>
      <w:r>
        <w:rPr>
          <w:b/>
          <w:bCs/>
        </w:rPr>
        <w:t xml:space="preserve">Termination: </w:t>
      </w:r>
      <w:r>
        <w:t xml:space="preserve">Full deadline calendar produced with rule citations, required-documents list, and Notice-to-the-Profession URLs.</w:t>
      </w:r>
    </w:p>
    <w:p>
      <w:pPr>
        <w:pStyle w:val="ListParagraph"/>
        <w:numPr>
          <w:ilvl w:val="0"/>
          <w:numId w:val="2"/>
        </w:numPr>
        <w:spacing w:after="80"/>
      </w:pPr>
      <w:r>
        <w:rPr>
          <w:b/>
          <w:bCs/>
        </w:rPr>
        <w:t xml:space="preserve">User visibility: </w:t>
      </w:r>
      <w:r>
        <w:t xml:space="preserve">Source rule text shown beside each computed deadline. NTP/practice direction text shown when one is relied upon. Holiday-adjustment log shown on click.</w:t>
      </w:r>
    </w:p>
    <w:p>
      <w:pPr>
        <w:pStyle w:val="Heading3"/>
      </w:pPr>
      <w:r>
        <w:t xml:space="preserve">4.5.1 Rule source coverage and retrieval URLs</w:t>
      </w:r>
    </w:p>
    <w:p>
      <w:pPr>
        <w:spacing w:after="160"/>
      </w:pPr>
      <w:r>
        <w:t xml:space="preserve">The tool maintains a registry of authoritative retrieval URLs for each rule source. The Procedure Tracker fetches at query time from these sources; it does not rely on cached versions older than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Forum</w:t>
            </w:r>
          </w:p>
        </w:tc>
        <w:tc>
          <w:tcPr>
            <w:tcW w:type="dxa" w:w="34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Primary rule source</w:t>
            </w:r>
          </w:p>
        </w:tc>
        <w:tc>
          <w:tcPr>
            <w:tcW w:type="dxa" w:w="34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Notice-to-Profession / practice direction source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Superior Court of Justice (Ontario)</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Rules of Civil Procedure, R.R.O. 1990, Reg. 194, retrieved from CanLII (Ontario regulations).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Notices to the Profession published by the Superior Court of Justice (ontariocourts.ca/scj). Retrieved per division and per region as applicable.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Small Claims Court (Ontario)</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Rules of the Small Claims Court, O. Reg. 258/98, retrieved from CanLII.</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Small Claims Court Notices to the Profession published by the Ontario Court of Justice or the Superior Court of Justice for Small Claims matters.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Landlord and Tenant Board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Residential Tenancies Act, 2006, S.O. 2006, c. 17, retrieved from CanLII. LTB Rules of Procedure retrieved from the Tribunals Ontario website.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LTB Interpretation Guidelines and procedural directions retrieved from the Tribunals Ontario / LTB website.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Ontario Court of Appeal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Rules of Civil Procedure (appellate provisions), Courts of Justice Act provisions, retrieved from CanLII.</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Practice Directions of the Ontario Court of Appeal (ontariocourts.ca/coa).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Federal Court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Federal Courts Rules, SOR/98-106, retrieved from CanLII (federal regulations).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Notices and Practice Directions published on fct-cf.gc.ca.</w:t>
            </w:r>
          </w:p>
        </w:tc>
      </w:tr>
    </w:tbl>
    <w:p>
      <w:pPr>
        <w:spacing w:after="160"/>
      </w:pPr>
      <w:r>
        <w:t xml:space="preserve"/>
      </w:r>
    </w:p>
    <w:p>
      <w:pPr>
        <w:pStyle w:val="Heading3"/>
      </w:pPr>
      <w:r>
        <w:t xml:space="preserve">4.5.2 Required-documents catalog</w:t>
      </w:r>
    </w:p>
    <w:p>
      <w:pPr>
        <w:spacing w:after="160"/>
      </w:pPr>
      <w:r>
        <w:t xml:space="preserve">For each deadline produced, the Procedure Tracker also lists the documents that must be prepared, served, or filed by that deadline. The catalog is maintained as a structured mapping from (forum, proceeding type, deadline category) to a list of required documents with their formal names and any applicable form numbers. Examples:</w:t>
      </w:r>
    </w:p>
    <w:p>
      <w:pPr>
        <w:pStyle w:val="ListParagraph"/>
        <w:numPr>
          <w:ilvl w:val="0"/>
          <w:numId w:val="2"/>
        </w:numPr>
        <w:spacing w:after="80"/>
      </w:pPr>
      <w:r>
        <w:t xml:space="preserve">Superior Court — Statement of Defence deadline: produces "Statement of Defence (Form 18A)" and where applicable "Notice of Intent to Defend (Form 18B)."</w:t>
      </w:r>
    </w:p>
    <w:p>
      <w:pPr>
        <w:pStyle w:val="ListParagraph"/>
        <w:numPr>
          <w:ilvl w:val="0"/>
          <w:numId w:val="2"/>
        </w:numPr>
        <w:spacing w:after="80"/>
      </w:pPr>
      <w:r>
        <w:t xml:space="preserve">Superior Court — Affidavit of Documents deadline: produces "Affidavit of Documents (Form 30A or 30B)" with reference to Rule 30.03.</w:t>
      </w:r>
    </w:p>
    <w:p>
      <w:pPr>
        <w:pStyle w:val="ListParagraph"/>
        <w:numPr>
          <w:ilvl w:val="0"/>
          <w:numId w:val="2"/>
        </w:numPr>
        <w:spacing w:after="80"/>
      </w:pPr>
      <w:r>
        <w:t xml:space="preserve">Small Claims — Settlement Conference deadline: produces "List of Proposed Witnesses," "Settlement Conference Brief," and any document the party intends to rely on (per Rule 13).</w:t>
      </w:r>
    </w:p>
    <w:p>
      <w:pPr>
        <w:pStyle w:val="ListParagraph"/>
        <w:numPr>
          <w:ilvl w:val="0"/>
          <w:numId w:val="2"/>
        </w:numPr>
        <w:spacing w:after="80"/>
      </w:pPr>
      <w:r>
        <w:t xml:space="preserve">LTB — L1 Application (rent arrears): produces "Form L1 — Application to Evict a Tenant for Non-payment of Rent," "Certificate of Service," and any required ledger documentation.</w:t>
      </w:r>
    </w:p>
    <w:p>
      <w:pPr>
        <w:pStyle w:val="ListParagraph"/>
        <w:numPr>
          <w:ilvl w:val="0"/>
          <w:numId w:val="2"/>
        </w:numPr>
        <w:spacing w:after="80"/>
      </w:pPr>
      <w:r>
        <w:t xml:space="preserve">LTB — L2 Application: produces "Form L2 — Application to End a Tenancy and Evict a Tenant" and the appropriate predicate notice (N4, N5, N6, N7, N8, N12, or N13 depending on grounds).</w:t>
      </w:r>
    </w:p>
    <w:p>
      <w:pPr>
        <w:spacing w:after="160"/>
      </w:pPr>
      <w:r>
        <w:t xml:space="preserve">The required-documents catalog is versioned in the source repository as a YAML or JSON file, separate from MiMo Pro's reasoning, so that it can be updated by the user without prompt-engineering work whenever forms change.</w:t>
      </w:r>
    </w:p>
    <w:p>
      <w:pPr>
        <w:pStyle w:val="Heading2"/>
      </w:pPr>
      <w:r>
        <w:t xml:space="preserve">4.6 Pleading drafting workflow (Draft Pleading task only)</w:t>
      </w:r>
    </w:p>
    <w:p>
      <w:pPr>
        <w:pStyle w:val="ListParagraph"/>
        <w:numPr>
          <w:ilvl w:val="0"/>
          <w:numId w:val="2"/>
        </w:numPr>
        <w:spacing w:after="80"/>
      </w:pPr>
      <w:r>
        <w:rPr>
          <w:b/>
          <w:bCs/>
        </w:rPr>
        <w:t xml:space="preserve">Trigger: </w:t>
      </w:r>
      <w:r>
        <w:t xml:space="preserve">User runs Draft Pleading task for a matter. The user has supplied the pleading type, party role, claim particulars (for plaintiff pleadings), and capacity declaration as specified in Section 2.2.</w:t>
      </w:r>
    </w:p>
    <w:p>
      <w:pPr>
        <w:pStyle w:val="ListParagraph"/>
        <w:numPr>
          <w:ilvl w:val="0"/>
          <w:numId w:val="2"/>
        </w:numPr>
        <w:spacing w:after="80"/>
      </w:pPr>
      <w:r>
        <w:rPr>
          <w:b/>
          <w:bCs/>
        </w:rPr>
        <w:t xml:space="preserve">Behaviour: </w:t>
      </w:r>
      <w:r>
        <w:t xml:space="preserve">The system performs the following sub-steps in order: (1) For defendant pleadings (Statement of Defence, Defence Form 9A), verify that the opposing party's pleading is present in matter documents; refuse the task otherwise. (2) Identify the causes of action present in the claim particulars (plaintiff) or alleged against the user (defendant). (3) For each cause of action, retrieve from CanLII the leading authority on its elements, following the court hierarchy in Section 4.3.1. (4) Retrieve the current text of the relevant pleading rule (Rule 25 of the Rules of Civil Procedure for Superior Court; Rule 7 of the Rules of the Small Claims Court for Plaintiff's Claim; the relevant defence rules for each). (5) Generate the draft using the model, with the retrieved authority injected into context and the Section 1.4 safety prompts active. (6) Run citation verification per Section 4.4. (7) Apply the DRAFT watermark and Section 1.4.3 cover note to the output.</w:t>
      </w:r>
    </w:p>
    <w:p>
      <w:pPr>
        <w:pStyle w:val="ListParagraph"/>
        <w:numPr>
          <w:ilvl w:val="0"/>
          <w:numId w:val="2"/>
        </w:numPr>
        <w:spacing w:after="80"/>
      </w:pPr>
      <w:r>
        <w:rPr>
          <w:b/>
          <w:bCs/>
        </w:rPr>
        <w:t xml:space="preserve">Termination: </w:t>
      </w:r>
      <w:r>
        <w:t xml:space="preserve">Draft pleading produced with all citations verified, watermark and cover note applied, and the audit log complete.</w:t>
      </w:r>
    </w:p>
    <w:p>
      <w:pPr>
        <w:pStyle w:val="ListParagraph"/>
        <w:numPr>
          <w:ilvl w:val="0"/>
          <w:numId w:val="2"/>
        </w:numPr>
        <w:spacing w:after="80"/>
      </w:pPr>
      <w:r>
        <w:rPr>
          <w:b/>
          <w:bCs/>
        </w:rPr>
        <w:t xml:space="preserve">User visibility: </w:t>
      </w:r>
      <w:r>
        <w:t xml:space="preserve">Each cause of action's elements and the supporting authority are shown beside the corresponding paragraphs of the pleading. The user can click any element to see the source case retrieved and the verification status.</w:t>
      </w:r>
    </w:p>
    <w:p>
      <w:pPr>
        <w:pStyle w:val="Heading3"/>
      </w:pPr>
      <w:r>
        <w:t xml:space="preserve">4.6.1 Pleading-specific output constraints</w:t>
      </w:r>
    </w:p>
    <w:p>
      <w:pPr>
        <w:pStyle w:val="ListParagraph"/>
        <w:numPr>
          <w:ilvl w:val="0"/>
          <w:numId w:val="2"/>
        </w:numPr>
        <w:spacing w:after="80"/>
      </w:pPr>
      <w:r>
        <w:t xml:space="preserve">Output is always marked DRAFT in the document header, footer, and watermark. Removing the watermark is not a supported configuration.</w:t>
      </w:r>
    </w:p>
    <w:p>
      <w:pPr>
        <w:pStyle w:val="ListParagraph"/>
        <w:numPr>
          <w:ilvl w:val="0"/>
          <w:numId w:val="2"/>
        </w:numPr>
        <w:spacing w:after="80"/>
      </w:pPr>
      <w:r>
        <w:t xml:space="preserve">The non-removable cover note (per Section 1.4.3) appears as the first page of any DOCX export, before the pleading itself.</w:t>
      </w:r>
    </w:p>
    <w:p>
      <w:pPr>
        <w:pStyle w:val="ListParagraph"/>
        <w:numPr>
          <w:ilvl w:val="0"/>
          <w:numId w:val="2"/>
        </w:numPr>
        <w:spacing w:after="80"/>
      </w:pPr>
      <w:r>
        <w:t xml:space="preserve">Output does not use the formal court-form numbering (e.g., Form 14A for Superior Court Statement of Claim) in a way that suggests filing-readiness. The DOCX export uses a clearly-marked draft template, not the gazetted court form.</w:t>
      </w:r>
    </w:p>
    <w:p>
      <w:pPr>
        <w:pStyle w:val="ListParagraph"/>
        <w:numPr>
          <w:ilvl w:val="0"/>
          <w:numId w:val="2"/>
        </w:numPr>
        <w:spacing w:after="80"/>
      </w:pPr>
      <w:r>
        <w:t xml:space="preserve">The tool does not provide a filing function, a court-filing-system integration, or guidance on how to file. The user is responsible for converting the draft into a court-form-compliant document and for serving and filing it.</w:t>
      </w:r>
    </w:p>
    <w:p>
      <w:pPr>
        <w:pStyle w:val="ListParagraph"/>
        <w:numPr>
          <w:ilvl w:val="0"/>
          <w:numId w:val="2"/>
        </w:numPr>
        <w:spacing w:after="80"/>
      </w:pPr>
      <w:r>
        <w:t xml:space="preserve">The tool refuses to draft a pleading where the matter documents indicate a limitation-period issue, instead returning a notice that a limitation analysis is required. The user must explicitly confirm that limitation analysis has been completed before the tool will proceed.</w:t>
      </w:r>
    </w:p>
    <w:p>
      <w:pPr>
        <w:pStyle w:val="Heading2"/>
      </w:pPr>
      <w:r>
        <w:t xml:space="preserve">4.7 Feedback capture</w:t>
      </w:r>
    </w:p>
    <w:p>
      <w:pPr>
        <w:pStyle w:val="ListParagraph"/>
        <w:numPr>
          <w:ilvl w:val="0"/>
          <w:numId w:val="2"/>
        </w:numPr>
        <w:spacing w:after="80"/>
      </w:pPr>
      <w:r>
        <w:rPr>
          <w:b/>
          <w:bCs/>
        </w:rPr>
        <w:t xml:space="preserve">Trigger: </w:t>
      </w:r>
      <w:r>
        <w:t xml:space="preserve">User submits feedback on a generated output.</w:t>
      </w:r>
    </w:p>
    <w:p>
      <w:pPr>
        <w:pStyle w:val="ListParagraph"/>
        <w:numPr>
          <w:ilvl w:val="0"/>
          <w:numId w:val="2"/>
        </w:numPr>
        <w:spacing w:after="80"/>
      </w:pPr>
      <w:r>
        <w:rPr>
          <w:b/>
          <w:bCs/>
        </w:rPr>
        <w:t xml:space="preserve">Behaviour: </w:t>
      </w:r>
      <w:r>
        <w:t xml:space="preserve">Feedback is stored in the feedback ledger alongside (a) the original output, (b) the prompt context that produced it, (c) the user's correction, and (d) timestamp and matter ID.</w:t>
      </w:r>
    </w:p>
    <w:p>
      <w:pPr>
        <w:pStyle w:val="ListParagraph"/>
        <w:numPr>
          <w:ilvl w:val="0"/>
          <w:numId w:val="2"/>
        </w:numPr>
        <w:spacing w:after="80"/>
      </w:pPr>
      <w:r>
        <w:rPr>
          <w:b/>
          <w:bCs/>
        </w:rPr>
        <w:t xml:space="preserve">Termination: </w:t>
      </w:r>
      <w:r>
        <w:t xml:space="preserve">Record persisted.</w:t>
      </w:r>
    </w:p>
    <w:p>
      <w:pPr>
        <w:pStyle w:val="ListParagraph"/>
        <w:numPr>
          <w:ilvl w:val="0"/>
          <w:numId w:val="2"/>
        </w:numPr>
        <w:spacing w:after="80"/>
      </w:pPr>
      <w:r>
        <w:rPr>
          <w:b/>
          <w:bCs/>
        </w:rPr>
        <w:t xml:space="preserve">User visibility: </w:t>
      </w:r>
      <w:r>
        <w:t xml:space="preserve">Confirmation of capture; ability to review and edit prior feedback for the same output.</w:t>
      </w:r>
    </w:p>
    <w:p>
      <w:pPr>
        <w:pStyle w:val="Heading2"/>
      </w:pPr>
      <w:r>
        <w:t xml:space="preserve">4.8 Prompt curator (semi-automatic)</w:t>
      </w:r>
    </w:p>
    <w:p>
      <w:pPr>
        <w:pStyle w:val="ListParagraph"/>
        <w:numPr>
          <w:ilvl w:val="0"/>
          <w:numId w:val="2"/>
        </w:numPr>
        <w:spacing w:after="80"/>
      </w:pPr>
      <w:r>
        <w:rPr>
          <w:b/>
          <w:bCs/>
        </w:rPr>
        <w:t xml:space="preserve">Trigger: </w:t>
      </w:r>
      <w:r>
        <w:t xml:space="preserve">Scheduled, weekly by default. Also manually triggered by the user.</w:t>
      </w:r>
    </w:p>
    <w:p>
      <w:pPr>
        <w:pStyle w:val="ListParagraph"/>
        <w:numPr>
          <w:ilvl w:val="0"/>
          <w:numId w:val="2"/>
        </w:numPr>
        <w:spacing w:after="80"/>
      </w:pPr>
      <w:r>
        <w:rPr>
          <w:b/>
          <w:bCs/>
        </w:rPr>
        <w:t xml:space="preserve">Behaviour: </w:t>
      </w:r>
      <w:r>
        <w:t xml:space="preserve">Curator reviews all feedback ledger entries accumulated since the last run. For each task template with three or more negative feedbacks since the last run, curator generates a proposed prompt diff (a specific addition, removal, or modification to the template's system prompt). Curator presents proposed diffs to the user for approval.</w:t>
      </w:r>
    </w:p>
    <w:p>
      <w:pPr>
        <w:pStyle w:val="ListParagraph"/>
        <w:numPr>
          <w:ilvl w:val="0"/>
          <w:numId w:val="2"/>
        </w:numPr>
        <w:spacing w:after="80"/>
      </w:pPr>
      <w:r>
        <w:rPr>
          <w:b/>
          <w:bCs/>
        </w:rPr>
        <w:t xml:space="preserve">Termination: </w:t>
      </w:r>
      <w:r>
        <w:t xml:space="preserve">All eligible templates reviewed; pending diffs queued for user approval.</w:t>
      </w:r>
    </w:p>
    <w:p>
      <w:pPr>
        <w:pStyle w:val="ListParagraph"/>
        <w:numPr>
          <w:ilvl w:val="0"/>
          <w:numId w:val="2"/>
        </w:numPr>
        <w:spacing w:after="80"/>
      </w:pPr>
      <w:r>
        <w:rPr>
          <w:b/>
          <w:bCs/>
        </w:rPr>
        <w:t xml:space="preserve">User visibility: </w:t>
      </w:r>
      <w:r>
        <w:t xml:space="preserve">Approval panel showing each proposed diff with the feedback entries that motivated it. User approves or rejects each diff individually. Approved diffs are versioned in git.</w:t>
      </w:r>
    </w:p>
    <w:p>
      <w:pPr>
        <w:pStyle w:val="Heading2"/>
      </w:pPr>
      <w:r>
        <w:t xml:space="preserve">4.9 Gold-set regression testing</w:t>
      </w:r>
    </w:p>
    <w:p>
      <w:pPr>
        <w:pStyle w:val="ListParagraph"/>
        <w:numPr>
          <w:ilvl w:val="0"/>
          <w:numId w:val="2"/>
        </w:numPr>
        <w:spacing w:after="80"/>
      </w:pPr>
      <w:r>
        <w:rPr>
          <w:b/>
          <w:bCs/>
        </w:rPr>
        <w:t xml:space="preserve">Trigger: </w:t>
      </w:r>
      <w:r>
        <w:t xml:space="preserve">Any time a prompt template change is merged (whether by curator or by direct developer edit).</w:t>
      </w:r>
    </w:p>
    <w:p>
      <w:pPr>
        <w:pStyle w:val="ListParagraph"/>
        <w:numPr>
          <w:ilvl w:val="0"/>
          <w:numId w:val="2"/>
        </w:numPr>
        <w:spacing w:after="80"/>
      </w:pPr>
      <w:r>
        <w:rPr>
          <w:b/>
          <w:bCs/>
        </w:rPr>
        <w:t xml:space="preserve">Behaviour: </w:t>
      </w:r>
      <w:r>
        <w:t xml:space="preserve">Tool runs the new prompt against every gold-set query for that task template. Outputs are diffed against the prior approved outputs. Material regressions (substantive content removed, citations dropped, structure broken) block the merge.</w:t>
      </w:r>
    </w:p>
    <w:p>
      <w:pPr>
        <w:pStyle w:val="ListParagraph"/>
        <w:numPr>
          <w:ilvl w:val="0"/>
          <w:numId w:val="2"/>
        </w:numPr>
        <w:spacing w:after="80"/>
      </w:pPr>
      <w:r>
        <w:rPr>
          <w:b/>
          <w:bCs/>
        </w:rPr>
        <w:t xml:space="preserve">Termination: </w:t>
      </w:r>
      <w:r>
        <w:t xml:space="preserve">All gold-set queries processed. Pass result merges the change; fail result rolls it back.</w:t>
      </w:r>
    </w:p>
    <w:p>
      <w:pPr>
        <w:pStyle w:val="ListParagraph"/>
        <w:numPr>
          <w:ilvl w:val="0"/>
          <w:numId w:val="2"/>
        </w:numPr>
        <w:spacing w:after="80"/>
      </w:pPr>
      <w:r>
        <w:rPr>
          <w:b/>
          <w:bCs/>
        </w:rPr>
        <w:t xml:space="preserve">User visibility: </w:t>
      </w:r>
      <w:r>
        <w:t xml:space="preserve">Test report shown to user before any prompt change takes effect.</w:t>
      </w:r>
    </w:p>
    <w:p>
      <w:r>
        <w:br w:type="page"/>
      </w:r>
    </w:p>
    <w:p>
      <w:pPr>
        <w:pStyle w:val="Heading1"/>
      </w:pPr>
      <w:r>
        <w:t xml:space="preserve">5. Verification and Acceptance Criteria</w:t>
      </w:r>
    </w:p>
    <w:p>
      <w:pPr>
        <w:spacing w:after="160"/>
      </w:pPr>
      <w:r>
        <w:t xml:space="preserve">The tool is considered complete when it passes every test below. Tests are organized into five categories: ingestion, task correctness, citation discipline, procedure tracker correctness, and feedback-loop functionality. A category fails if any of its tests fail.</w:t>
      </w:r>
    </w:p>
    <w:p>
      <w:pPr>
        <w:pStyle w:val="Heading2"/>
      </w:pPr>
      <w:r>
        <w:t xml:space="preserve">5.1 Test environment requirements</w:t>
      </w:r>
    </w:p>
    <w:p>
      <w:pPr>
        <w:pStyle w:val="ListParagraph"/>
        <w:numPr>
          <w:ilvl w:val="0"/>
          <w:numId w:val="2"/>
        </w:numPr>
        <w:spacing w:after="80"/>
      </w:pPr>
      <w:r>
        <w:t xml:space="preserve">A test matter of between 50 and 200 pages, drawn from a closed matter where the developer has independent knowledge of the correct outputs. This test matter is the acceptance gold standard.</w:t>
      </w:r>
    </w:p>
    <w:p>
      <w:pPr>
        <w:pStyle w:val="ListParagraph"/>
        <w:numPr>
          <w:ilvl w:val="0"/>
          <w:numId w:val="2"/>
        </w:numPr>
        <w:spacing w:after="80"/>
      </w:pPr>
      <w:r>
        <w:t xml:space="preserve">A separate adversarial matter of at least 30 pages, deliberately constructed to include: scanned pages requiring OCR, two documents with substantially similar but materially different clauses, an email thread with multiple participants, and at least one fabricated fact pattern that should not appear in any output.</w:t>
      </w:r>
    </w:p>
    <w:p>
      <w:pPr>
        <w:pStyle w:val="ListParagraph"/>
        <w:numPr>
          <w:ilvl w:val="0"/>
          <w:numId w:val="2"/>
        </w:numPr>
        <w:spacing w:after="80"/>
      </w:pPr>
      <w:r>
        <w:t xml:space="preserve">A documented list of 20 gold-set queries with their expected correct outputs, prepared by the user before acceptance testing begins.</w:t>
      </w:r>
    </w:p>
    <w:p>
      <w:pPr>
        <w:pStyle w:val="Heading2"/>
      </w:pPr>
      <w:r>
        <w:t xml:space="preserve">5.2 Category 1 — Ingestion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 ID</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Acceptance criterion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ING-1</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Upload the full test matter (mixed PDF, DOCX, EML).</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All files ingested without error. Total page count parsed matches manual count within ±2 pages (accounting for blank pages and PDF artifacts).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ING-2</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Upload a scanned PDF requiring OCR.</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OCR text extracted. Spot-check of 5 randomly selected pages shows ≥95% character-level accuracy against the visible source.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ING-3</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Upload a corrupted or unsupported file.</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reports the specific file and the failure reason. No silent failures. Other files in the same upload are processed normally.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ING-4</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Page-citation integrity check: pick 10 random chunks; verify each chunk's metadata correctly identifies the source page.</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10 of 10 chunks correctly attribute to the source page.</w:t>
            </w:r>
          </w:p>
        </w:tc>
      </w:tr>
    </w:tbl>
    <w:p>
      <w:pPr>
        <w:spacing w:after="160"/>
      </w:pPr>
      <w:r>
        <w:t xml:space="preserve"/>
      </w:r>
    </w:p>
    <w:p>
      <w:pPr>
        <w:pStyle w:val="Heading2"/>
      </w:pPr>
      <w:r>
        <w:t xml:space="preserve">5.3 Category 2 — Task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 ID</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Acceptance criterion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TSK-1</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Summarize on the test matter.</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Summary identifies the correct parties, the correct nature of the dispute, and at least 80% of the key facts the user identifies as material. Length 300–800 words.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TSK-2</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Generate Timeline on the test matter.</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Timeline includes ≥95% of dated events the user lists as material. No fabricated events. No events misdated by more than the documented source's own ambiguity.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TSK-3</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Find Facts on 5 user-supplied factual questions answerable from the matter.</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5 of 5 answers are correct and cited to the right source page. Incorrect answers are a category failure even if citations are valid.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TSK-4</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Find Facts on 3 questions deliberately not answerable from the matter.</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refuses to answer in 3 of 3 cases, reporting that the matter does not contain the relevant information. Hallucinated answers in any of these tests cause category failure.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TSK-5</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Find Entities on the test matter.</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All named parties present in matter documents are identified. No fabricated entities. Dollar amounts and dates match documents.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TSK-6</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Compare Clauses on the two similar-but-different documents in the adversarial matter.</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Material differences are correctly identified and described. Differences absent from the documents are not invented.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TSK-7</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Draft Memo in matter-only mode on a user-supplied issue.</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Memo follows Issue / Facts / Analysis / Conclusion structure. Every factual claim is cited to a matter document. No claim is made of external authority.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TSK-8</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Draft Memo in CanLII-augmented mode on a user-supplied issue with relevant Canadian case law.</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Memo cites at least one CanLII authority. Every cited authority passes verification (see Category 3). Cited propositions accurately reflect the underlying case.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TSK-9</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Draft Correspondence with an instruction to write to the client.</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Output is in appropriate professional tone. Factual references accurate to the matter. No legal advice rendered to a third party.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TSK-10</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all task types on the adversarial matter and check for any inclusion of the fabricated fact pattern.</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Fabricated fact pattern is not echoed in any output. If echoed, this is a category failure.</w:t>
            </w:r>
          </w:p>
        </w:tc>
      </w:tr>
    </w:tbl>
    <w:p>
      <w:pPr>
        <w:spacing w:after="160"/>
      </w:pPr>
      <w:r>
        <w:t xml:space="preserve"/>
      </w:r>
    </w:p>
    <w:p>
      <w:pPr>
        <w:pStyle w:val="Heading2"/>
      </w:pPr>
      <w:r>
        <w:t xml:space="preserve">5.4 Category 3 — Citation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 ID</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Acceptance criterion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CIT-1</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Sample 20 inline citations from across the task outputs in Category 2.</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20 of 20 citations correctly identify the source document and a page where the cited content actually appears.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CIT-2</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Construct a fabricated case citation injection: ask the tool to draft a memo citing case "Fictional v Made-Up, 2024 ONCA 9999" with a fictional proposition.</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does not produce the requested citation. Either refuses or substitutes the [citation needed] placeholder. Producing the fictional citation as if real is a category failure.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CIT-3</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CanLII-augmented mode 5 times on substantive legal questions.</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Every citation in every output passes the verification protocol (case exists on CanLII; quoted passage matches; year and jurisdiction match). 0 verified failures permitted.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CIT-4</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Inspect the verification log for one CanLII-augmented run.</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Log shows for each cited authority: the search query used, the URL fetched, the verification checks performed, and the pass/fail outcome.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CIT-5</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Submit a legal question on a settled point of Canadian law where SCC, ONCA, and ONSC authority all exist (e.g., the test for an interlocutory injunction).</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Output cites SCC authority first (e.g., RJR-MacDonald). ONCA or ONSC may be cited as supplementary; lower-ranked authority is not cited where the SCC has spoken on the same point.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CIT-6</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Submit a question on a point where only Ontario authority exists (no SCC ruling).</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Output cites ONCA where applicable in preference to ONSC. ONSC is cited only where it adds something ONCA has not addressed. No out-of-province authority appears unless the user widens jurisdiction preference.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CIT-7</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Submit a question where no on-point Ontario authority exists and the tool must reach for out-of-province authority.</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Output labels every out-of-jurisdiction citation as "persuasive only — no Ontario authority located on this point." Tool does not present out-of-jurisdiction authority as binding.</w:t>
            </w:r>
          </w:p>
        </w:tc>
      </w:tr>
    </w:tbl>
    <w:p>
      <w:pPr>
        <w:spacing w:after="160"/>
      </w:pPr>
      <w:r>
        <w:t xml:space="preserve"/>
      </w:r>
    </w:p>
    <w:p>
      <w:pPr>
        <w:pStyle w:val="Heading2"/>
      </w:pPr>
      <w:r>
        <w:t xml:space="preserve">5.5 Category 4 — Procedure Tracker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 ID</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Acceptance criterion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PRO-1</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Procedure Tracker for an Ontario Superior Court matter with a known trigger date (statement of claim served on a specific date).</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computes the Statement of Defence deadline correctly under the Ontario Rules of Civil Procedure, adjusted for any intervening statutory holiday. Output includes the rule citation (e.g., Rule 18.01) and a link to any in-force Notice to the Profession that modifies the standard timeline.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PRO-2</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Inspect the rule-retrieval log for the PRO-1 run.</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Log shows: (a) the URL fetched for the Rules of Civil Procedure, (b) the URL fetched for any applicable Notice to the Profession, (c) the fetch timestamp. Cached content older than 24 hours triggers a fresh fetch. Tool did not rely on training-data knowledge.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PRO-3</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Procedure Tracker for a Small Claims Court matter (e.g., defended claim with a settlement conference scheduled).</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computes deadlines under the Rules of the Small Claims Court (O. Reg. 258/98). Output cites the relevant rule (e.g., Rule 13 for settlement conferences) and lists required documents — Settlement Conference Brief, list of proposed witnesses, documents to be relied 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PRO-4</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Procedure Tracker for an LTB matter (L1 application for rent arrears).</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computes deadlines under the Residential Tenancies Act and LTB Rules. Output cites the relevant RTA section and required documents — Form L1, the predicate Form N4 notice with correct termination date, and Certificate of Service. Output links to any in-force LTB Interpretation Guideline relied upon.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PRO-5</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Procedure Tracker for an LTB L2 application (eviction for cause).</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correctly identifies the predicate notice based on user-supplied ground (N5 for substantial interference, N6 for illegal act, N7 for serious impairment, N8 for persistent late payment, N12 for own use, N13 for demolition/repair). Tool lists the L2 form and the correct predicate notice form for the supplied ground.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PRO-6</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Procedure Tracker for an Ontario Court of Appeal matter (e.g., notice of appeal from a Superior Court judgment).</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computes appeal-period deadlines under the Rules of Civil Procedure (appellate provisions) and identifies any applicable Practice Direction of the Court of Appeal. Output lists required documents — Notice of Appeal, Certificate Respecting Evidence — with form references.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PRO-7</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Run Procedure Tracker with a trigger date such that a holiday falls on the computed deadline (test holiday-adjustment for each forum).</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correctly advances the deadline to the next business day per the applicable forum's rule (Rule 3.01 for Superior Court; analogous provisions for other forums). Adjustment is noted in the output with the rule citation.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PRO-8</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Construct a scenario where a current Notice to the Profession modifies a standard deadline (e.g., a regional NTP affecting filing procedure).</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Tool retrieves the NTP at run time, applies its modification to the computed deadline, includes the NTP citation in the output, and provides a working URL link to the NTP on the source court website. If the linked URL fails to resolve, the test fails.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PRO-9</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Inspect the required-documents output for any Procedure Tracker run.</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Output lists, for each deadline, the formal name of every document required at that stage, including form numbers where applicable. The required-documents catalog file (YAML/JSON) is present in the source repository and is consulted at run time.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PRO-10</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Export the calendar to ICS and import to a third-party calendar application.</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All events import correctly with dates, descriptions, rule citations, required-documents lists, and NTP URLs preserved.</w:t>
            </w:r>
          </w:p>
        </w:tc>
      </w:tr>
    </w:tbl>
    <w:p>
      <w:pPr>
        <w:spacing w:after="160"/>
      </w:pPr>
      <w:r>
        <w:t xml:space="preserve"/>
      </w:r>
    </w:p>
    <w:p>
      <w:pPr>
        <w:pStyle w:val="Heading2"/>
      </w:pPr>
      <w:r>
        <w:t xml:space="preserve">5.6 Category 5 — Feedback loop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 ID</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Test</w:t>
            </w:r>
          </w:p>
        </w:tc>
        <w:tc>
          <w:tcPr>
            <w:tcW w:type="dxa" w:w="42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Acceptance criterion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FBK-1</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Submit thumbs-down + correction text on a section of a Summarize output.</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Feedback persisted with all required fields (original output, prompt context, correction, timestamp, matter ID).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FBK-2</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Trigger the in-session correction loop with a correction.</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Regenerated output reflects the correction. Verified by user review.</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FBK-3</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Submit at least 3 negative feedbacks of similar character against one task template; trigger the prompt curator manually.</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Curator produces a proposed prompt diff that addresses the pattern. Diff is presented for user approval with the supporting feedback entries.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FBK-4</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Approve a curator diff; observe the gold-set regression test.</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Gold-set tests run automatically. Test report is shown. Diff is only merged if tests pass.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FBK-5</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Force a regression: edit a prompt template to deliberately break a gold-set query.</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Regression test fails. Merge is blocked. User sees clear failure report.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FBK-6</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Inspect git history of the task-template repository.</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Every approved prompt change appears as a discrete commit with reference to the curator run that proposed it.</w:t>
            </w:r>
          </w:p>
        </w:tc>
      </w:tr>
    </w:tbl>
    <w:p>
      <w:pPr>
        <w:spacing w:after="160"/>
      </w:pPr>
      <w:r>
        <w:t xml:space="preserve"/>
      </w:r>
    </w:p>
    <w:p>
      <w:pPr>
        <w:pStyle w:val="Heading2"/>
      </w:pPr>
      <w:r>
        <w:t xml:space="preserve">5.7 Overall acceptance</w:t>
      </w:r>
    </w:p>
    <w:p>
      <w:pPr>
        <w:spacing w:after="160"/>
      </w:pPr>
      <w:r>
        <w:t xml:space="preserve">The tool is accepted when every test in every category passes, demonstrated to the user in a single sitting using the test matter and the adversarial matter. Failures result in specific defect tickets which must be addressed before re-test. Re-tests are scoped to the failed categories plus any other category whose behaviour was affected by the fix.</w:t>
      </w:r>
    </w:p>
    <w:p>
      <w:r>
        <w:br w:type="page"/>
      </w:r>
    </w:p>
    <w:p>
      <w:pPr>
        <w:pStyle w:val="Heading1"/>
      </w:pPr>
      <w:r>
        <w:t xml:space="preserve">6. Deliverables</w:t>
      </w:r>
    </w:p>
    <w:p>
      <w:pPr>
        <w:pStyle w:val="Heading2"/>
      </w:pPr>
      <w:r>
        <w:t xml:space="preserve">6.1 Software deliverables</w:t>
      </w:r>
    </w:p>
    <w:p>
      <w:pPr>
        <w:pStyle w:val="ListParagraph"/>
        <w:numPr>
          <w:ilvl w:val="0"/>
          <w:numId w:val="2"/>
        </w:numPr>
        <w:spacing w:after="80"/>
      </w:pPr>
      <w:r>
        <w:t xml:space="preserve">Source code repository (git) containing the application, task-template files (versioned), gold-set queries, and acceptance test scripts.</w:t>
      </w:r>
    </w:p>
    <w:p>
      <w:pPr>
        <w:pStyle w:val="ListParagraph"/>
        <w:numPr>
          <w:ilvl w:val="0"/>
          <w:numId w:val="2"/>
        </w:numPr>
        <w:spacing w:after="80"/>
      </w:pPr>
      <w:r>
        <w:t xml:space="preserve">Docker Compose configuration for the local vector database.</w:t>
      </w:r>
    </w:p>
    <w:p>
      <w:pPr>
        <w:pStyle w:val="ListParagraph"/>
        <w:numPr>
          <w:ilvl w:val="0"/>
          <w:numId w:val="2"/>
        </w:numPr>
        <w:spacing w:after="80"/>
      </w:pPr>
      <w:r>
        <w:t xml:space="preserve">Installation and operation manual: setting up Python environment, configuring API credentials, starting the application, common troubleshooting.</w:t>
      </w:r>
    </w:p>
    <w:p>
      <w:pPr>
        <w:pStyle w:val="ListParagraph"/>
        <w:numPr>
          <w:ilvl w:val="0"/>
          <w:numId w:val="2"/>
        </w:numPr>
        <w:spacing w:after="80"/>
      </w:pPr>
      <w:r>
        <w:t xml:space="preserve">Architecture document describing the data flow across the six layers identified in the proposal.</w:t>
      </w:r>
    </w:p>
    <w:p>
      <w:pPr>
        <w:pStyle w:val="Heading2"/>
      </w:pPr>
      <w:r>
        <w:t xml:space="preserve">6.2 Documentation deliverables</w:t>
      </w:r>
    </w:p>
    <w:p>
      <w:pPr>
        <w:pStyle w:val="ListParagraph"/>
        <w:numPr>
          <w:ilvl w:val="0"/>
          <w:numId w:val="2"/>
        </w:numPr>
        <w:spacing w:after="80"/>
      </w:pPr>
      <w:r>
        <w:t xml:space="preserve">Task-template reference: for each of the 9 task types, the system prompt, the inputs it expects, the outputs it produces, and the version history of changes.</w:t>
      </w:r>
    </w:p>
    <w:p>
      <w:pPr>
        <w:pStyle w:val="ListParagraph"/>
        <w:numPr>
          <w:ilvl w:val="0"/>
          <w:numId w:val="2"/>
        </w:numPr>
        <w:spacing w:after="80"/>
      </w:pPr>
      <w:r>
        <w:t xml:space="preserve">CanLII verification protocol specification, including the court-hierarchy ranking logic and the out-of-jurisdiction labelling rules.</w:t>
      </w:r>
    </w:p>
    <w:p>
      <w:pPr>
        <w:pStyle w:val="ListParagraph"/>
        <w:numPr>
          <w:ilvl w:val="0"/>
          <w:numId w:val="2"/>
        </w:numPr>
        <w:spacing w:after="80"/>
      </w:pPr>
      <w:r>
        <w:t xml:space="preserve">Procedure Tracker rule-source registry: the authoritative URLs for each of the four primary rule sources (Rules of Civil Procedure, Rules of the Small Claims Court, Residential Tenancies Act + LTB Rules, Court of Appeal rules and practice directions) plus the Notice-to-the-Profession discovery sources.</w:t>
      </w:r>
    </w:p>
    <w:p>
      <w:pPr>
        <w:pStyle w:val="ListParagraph"/>
        <w:numPr>
          <w:ilvl w:val="0"/>
          <w:numId w:val="2"/>
        </w:numPr>
        <w:spacing w:after="80"/>
      </w:pPr>
      <w:r>
        <w:t xml:space="preserve">Required-documents catalog: a YAML or JSON file mapping (forum, proceeding type, deadline category) to the list of required documents and form numbers. Maintained as a versioned data file separate from prompt logic.</w:t>
      </w:r>
    </w:p>
    <w:p>
      <w:pPr>
        <w:pStyle w:val="ListParagraph"/>
        <w:numPr>
          <w:ilvl w:val="0"/>
          <w:numId w:val="2"/>
        </w:numPr>
        <w:spacing w:after="80"/>
      </w:pPr>
      <w:r>
        <w:t xml:space="preserve">Acceptance test report documenting the outcome of each test in Section 5, signed by both the developer and the user.</w:t>
      </w:r>
    </w:p>
    <w:p>
      <w:pPr>
        <w:pStyle w:val="Heading2"/>
      </w:pPr>
      <w:r>
        <w:t xml:space="preserve">6.3 Operational deliverables</w:t>
      </w:r>
    </w:p>
    <w:p>
      <w:pPr>
        <w:pStyle w:val="ListParagraph"/>
        <w:numPr>
          <w:ilvl w:val="0"/>
          <w:numId w:val="2"/>
        </w:numPr>
        <w:spacing w:after="80"/>
      </w:pPr>
      <w:r>
        <w:t xml:space="preserve">Gold-set query repository with 20 queries and their approved outputs.</w:t>
      </w:r>
    </w:p>
    <w:p>
      <w:pPr>
        <w:pStyle w:val="ListParagraph"/>
        <w:numPr>
          <w:ilvl w:val="0"/>
          <w:numId w:val="2"/>
        </w:numPr>
        <w:spacing w:after="80"/>
      </w:pPr>
      <w:r>
        <w:t xml:space="preserve">Initial feedback ledger schema and storage.</w:t>
      </w:r>
    </w:p>
    <w:p>
      <w:pPr>
        <w:pStyle w:val="ListParagraph"/>
        <w:numPr>
          <w:ilvl w:val="0"/>
          <w:numId w:val="2"/>
        </w:numPr>
        <w:spacing w:after="80"/>
      </w:pPr>
      <w:r>
        <w:t xml:space="preserve">Configured OpenRouter and CanLII credentials in environment variables (not in source code).</w:t>
      </w:r>
    </w:p>
    <w:p>
      <w:r>
        <w:br w:type="page"/>
      </w:r>
    </w:p>
    <w:p>
      <w:pPr>
        <w:pStyle w:val="Heading1"/>
      </w:pPr>
      <w:r>
        <w:t xml:space="preserve">7. Assumptions and Constraints</w:t>
      </w:r>
    </w:p>
    <w:p>
      <w:pPr>
        <w:pStyle w:val="Heading2"/>
      </w:pPr>
      <w:r>
        <w:t xml:space="preserve">7.1 Assumptions</w:t>
      </w:r>
    </w:p>
    <w:p>
      <w:pPr>
        <w:pStyle w:val="ListParagraph"/>
        <w:numPr>
          <w:ilvl w:val="0"/>
          <w:numId w:val="2"/>
        </w:numPr>
        <w:spacing w:after="80"/>
      </w:pPr>
      <w:r>
        <w:t xml:space="preserve">MiMo Pro remains available via OpenRouter at substantially current pricing throughout the build.</w:t>
      </w:r>
    </w:p>
    <w:p>
      <w:pPr>
        <w:pStyle w:val="ListParagraph"/>
        <w:numPr>
          <w:ilvl w:val="0"/>
          <w:numId w:val="2"/>
        </w:numPr>
        <w:spacing w:after="80"/>
      </w:pPr>
      <w:r>
        <w:t xml:space="preserve">CanLII continues to provide public access to Canadian case law, the Rules of Civil Procedure, the Rules of the Small Claims Court, and the Residential Tenancies Act on substantially current terms.</w:t>
      </w:r>
    </w:p>
    <w:p>
      <w:pPr>
        <w:pStyle w:val="ListParagraph"/>
        <w:numPr>
          <w:ilvl w:val="0"/>
          <w:numId w:val="2"/>
        </w:numPr>
        <w:spacing w:after="80"/>
      </w:pPr>
      <w:r>
        <w:t xml:space="preserve">The Ontario courts (ontariocourts.ca) and Tribunals Ontario continue to publish Notices to the Profession, Practice Directions, and Interpretation Guidelines at publicly accessible URLs.</w:t>
      </w:r>
    </w:p>
    <w:p>
      <w:pPr>
        <w:pStyle w:val="ListParagraph"/>
        <w:numPr>
          <w:ilvl w:val="0"/>
          <w:numId w:val="2"/>
        </w:numPr>
        <w:spacing w:after="80"/>
      </w:pPr>
      <w:r>
        <w:t xml:space="preserve">The user has access to closed-matter documents suitable for use as test material under applicable confidentiality obligations.</w:t>
      </w:r>
    </w:p>
    <w:p>
      <w:pPr>
        <w:pStyle w:val="ListParagraph"/>
        <w:numPr>
          <w:ilvl w:val="0"/>
          <w:numId w:val="2"/>
        </w:numPr>
        <w:spacing w:after="80"/>
      </w:pPr>
      <w:r>
        <w:t xml:space="preserve">The user is the final reviewer of all output and accepts professional responsibility for its use.</w:t>
      </w:r>
    </w:p>
    <w:p>
      <w:pPr>
        <w:pStyle w:val="Heading2"/>
      </w:pPr>
      <w:r>
        <w:t xml:space="preserve">7.2 Constraints</w:t>
      </w:r>
    </w:p>
    <w:p>
      <w:pPr>
        <w:pStyle w:val="ListParagraph"/>
        <w:numPr>
          <w:ilvl w:val="0"/>
          <w:numId w:val="2"/>
        </w:numPr>
        <w:spacing w:after="80"/>
      </w:pPr>
      <w:r>
        <w:t xml:space="preserve">The tool operates only in English. French-language matters are not supported in this scope.</w:t>
      </w:r>
    </w:p>
    <w:p>
      <w:pPr>
        <w:pStyle w:val="ListParagraph"/>
        <w:numPr>
          <w:ilvl w:val="0"/>
          <w:numId w:val="2"/>
        </w:numPr>
        <w:spacing w:after="80"/>
      </w:pPr>
      <w:r>
        <w:t xml:space="preserve">The tool covers Canadian jurisdictions only. U.S. and other foreign law are out of scope.</w:t>
      </w:r>
    </w:p>
    <w:p>
      <w:pPr>
        <w:pStyle w:val="ListParagraph"/>
        <w:numPr>
          <w:ilvl w:val="0"/>
          <w:numId w:val="2"/>
        </w:numPr>
        <w:spacing w:after="80"/>
      </w:pPr>
      <w:r>
        <w:t xml:space="preserve">CanLII coverage is the upper bound for legal-authority retrieval. Unreported decisions and very recent cases not yet on CanLII cannot be cited.</w:t>
      </w:r>
    </w:p>
    <w:p>
      <w:pPr>
        <w:pStyle w:val="ListParagraph"/>
        <w:numPr>
          <w:ilvl w:val="0"/>
          <w:numId w:val="2"/>
        </w:numPr>
        <w:spacing w:after="80"/>
      </w:pPr>
      <w:r>
        <w:t xml:space="preserve">API-based deployment means matter document text is transmitted to OpenRouter (and onward to Xiaomi) during task runs. The user accepts the provider's published data-handling policy as the privacy boundary.</w:t>
      </w:r>
    </w:p>
    <w:p>
      <w:pPr>
        <w:pStyle w:val="Heading2"/>
      </w:pPr>
      <w:r>
        <w:t xml:space="preserve">7.3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Risk</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Likelihood / impact</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Mitigation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Hallucinated case citation reaches user-facing output.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Medium likelihood without controls; high impact (professional and ethical).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Mandatory citation verification protocol (Section 4.4). Test category CIT verifies discipline. Strip-and-replace behaviour is non-overridable.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Procedure rule changes between development and use.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Medium likelihood; medium-high impact.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Procedure Tracker never uses cached rule text; always fetches current rules from CanLII at query time (Section 4.5).</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OpenRouter or MiMo Pro pricing changes materially.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Low–medium likelihood; medium impact.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Architecture is model-agnostic; tool can be ported to other API-compatible providers (Anthropic, OpenAI, Google) with prompt-template adjustments.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Document confidentiality leaks via API transmission.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Low likelihood given provider policies; high impact if it occurred.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User accepts the provider's data-handling policy as the privacy boundary. For matters where this is unacceptable, the matter is not handled through the tool.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Prompt-curator regression breaks production prompt.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Medium likelihood without controls; medium impact.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Gold-set regression testing (Section 4.8) blocks merge of any prompt change that breaks an approved query. Git versioning supports rollback.</w:t>
            </w:r>
          </w:p>
        </w:tc>
      </w:tr>
    </w:tbl>
    <w:p>
      <w:pPr>
        <w:spacing w:after="160"/>
      </w:pPr>
      <w:r>
        <w:t xml:space="preserve"/>
      </w:r>
    </w:p>
    <w:p>
      <w:pPr>
        <w:pStyle w:val="Heading1"/>
      </w:pPr>
      <w:r>
        <w:t xml:space="preserve">8.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Phase</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Duration</w:t>
            </w:r>
          </w:p>
        </w:tc>
        <w:tc>
          <w:tcPr>
            <w:tcW w:type="dxa" w:w="5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jc w:val="left"/>
            </w:pPr>
            <w:r>
              <w:rPr>
                <w:b/>
                <w:bCs/>
                <w:i w:val="false"/>
                <w:iCs w:val="false"/>
                <w:sz w:val="20"/>
                <w:szCs w:val="20"/>
              </w:rPr>
              <w:t xml:space="preserve">Deliverable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Phase 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0.5 day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Environment provisioning: OpenRouter account, Docker, Python environment, vector DB running.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Phase 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Days 1–5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Walking skeleton through full matter concept: command-line tool, web UI, ingestion pipeline, basic task templates (Summarize, Timeline, Find Facts, Draft Memo in matter-only mode).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Phase 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Weeks 2–3</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CanLII retrieval with court-hierarchy ranking, citation verification protocol, and out-of-jurisdiction labelling. Procedure Tracker module with all four rule sources (Rules of Civil Procedure, Rules of the Small Claims Court, RTA/LTB Rules, Court of Appeal rules), Notice-to-the-Profession retrieval, and required-documents catalog.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Phase 3</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Week 4</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Feedback capture, short-term refinement, prompt curator, gold-set regression testing.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i w:val="false"/>
                <w:iCs w:val="false"/>
                <w:sz w:val="20"/>
                <w:szCs w:val="20"/>
              </w:rPr>
              <w:t xml:space="preserve">Phase 4</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Week 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i w:val="false"/>
                <w:iCs w:val="false"/>
                <w:sz w:val="20"/>
                <w:szCs w:val="20"/>
              </w:rPr>
              <w:t xml:space="preserve">Acceptance testing per Section 5. Defect resolution. Sign-off.</w:t>
            </w:r>
          </w:p>
        </w:tc>
      </w:tr>
    </w:tbl>
    <w:p>
      <w:pPr>
        <w:spacing w:after="160"/>
      </w:pPr>
      <w:r>
        <w:t xml:space="preserve"/>
      </w:r>
    </w:p>
    <w:p>
      <w:pPr>
        <w:spacing w:after="160"/>
      </w:pPr>
      <w:r>
        <w:t xml:space="preserve">Total estimated duration: 5 weeks of focused build, assuming one developer working on this as primary task. The Procedure Tracker module is the largest single component; budgeting two weeks for it reflects the four distinct rule sources, the NTP retrieval logic, and the required-documents catalog.</w:t>
      </w:r>
    </w:p>
    <w:p>
      <w:pPr>
        <w:pStyle w:val="Heading1"/>
      </w:pPr>
      <w:r>
        <w:t xml:space="preserve">9. Sign-off</w:t>
      </w:r>
    </w:p>
    <w:p>
      <w:pPr>
        <w:spacing w:after="160"/>
      </w:pPr>
      <w:r>
        <w:t xml:space="preserve">This Statement of Work is the binding specification for the Legal Matter Clerk. Acceptance is contingent on all tests in Section 5 passing on the test and adversarial matters. Changes to scope after sign-off require written agreement between the user and the developer and may affect timeline and deliverables.</w:t>
      </w:r>
    </w:p>
    <w:p>
      <w:pPr>
        <w:spacing w:after="160"/>
      </w:pPr>
      <w:r>
        <w:t xml:space="preserve"/>
      </w:r>
    </w:p>
    <w:p>
      <w:pPr>
        <w:spacing w:after="160"/>
      </w:pPr>
      <w:r>
        <w:t xml:space="preserve">Approved by:</w:t>
      </w:r>
    </w:p>
    <w:p>
      <w:pPr>
        <w:spacing w:after="160"/>
      </w:pPr>
      <w:r>
        <w:t xml:space="preserve"/>
      </w:r>
    </w:p>
    <w:p>
      <w:pPr>
        <w:spacing w:after="160"/>
      </w:pPr>
      <w:r>
        <w:rPr>
          <w:b w:val="false"/>
          <w:bCs w:val="false"/>
        </w:rPr>
        <w:t xml:space="preserve">________________________________     Date: ____________________</w:t>
      </w:r>
    </w:p>
    <w:p>
      <w:pPr>
        <w:spacing w:after="160"/>
      </w:pPr>
      <w:r>
        <w:t xml:space="preserve">User / Owner</w:t>
      </w:r>
    </w:p>
    <w:p>
      <w:pPr>
        <w:spacing w:after="160"/>
      </w:pPr>
      <w:r>
        <w:t xml:space="preserve"/>
      </w:r>
    </w:p>
    <w:p>
      <w:pPr>
        <w:spacing w:after="160"/>
      </w:pPr>
      <w:r>
        <w:rPr>
          <w:b w:val="false"/>
          <w:bCs w:val="false"/>
        </w:rPr>
        <w:t xml:space="preserve">________________________________     Date: ____________________</w:t>
      </w:r>
    </w:p>
    <w:p>
      <w:pPr>
        <w:spacing w:after="160"/>
      </w:pPr>
      <w:r>
        <w:t xml:space="preserve">Developer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Statement of Work — Legal Matter Clerk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2026-05-27T17:05:39.878Z</dcterms:created>
  <dcterms:modified xsi:type="dcterms:W3CDTF">2026-05-27T17:05:39.891Z</dcterms:modified>
</cp:coreProperties>
</file>

<file path=docProps/custom.xml><?xml version="1.0" encoding="utf-8"?>
<Properties xmlns="http://schemas.openxmlformats.org/officeDocument/2006/custom-properties" xmlns:vt="http://schemas.openxmlformats.org/officeDocument/2006/docPropsVTypes"/>
</file>