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22CF1" w14:textId="37772B36" w:rsidR="003E76C3" w:rsidRPr="007C09B9" w:rsidRDefault="007C09B9">
      <w:pPr>
        <w:rPr>
          <w:rFonts w:ascii="Times New Roman" w:hAnsi="Times New Roman" w:cs="Times New Roman"/>
          <w:color w:val="000000"/>
        </w:rPr>
      </w:pPr>
      <w:r w:rsidRPr="007C09B9">
        <w:rPr>
          <w:rStyle w:val="Strong"/>
          <w:rFonts w:ascii="Times New Roman" w:hAnsi="Times New Roman" w:cs="Times New Roman"/>
          <w:color w:val="000000"/>
        </w:rPr>
        <w:t>STAT 412 – Interim Report</w:t>
      </w:r>
      <w:r w:rsidRPr="007C09B9">
        <w:rPr>
          <w:rFonts w:ascii="Times New Roman" w:hAnsi="Times New Roman" w:cs="Times New Roman"/>
          <w:color w:val="000000"/>
        </w:rPr>
        <w:br/>
      </w:r>
      <w:r w:rsidRPr="007C09B9">
        <w:rPr>
          <w:rStyle w:val="Strong"/>
          <w:rFonts w:ascii="Times New Roman" w:hAnsi="Times New Roman" w:cs="Times New Roman"/>
          <w:color w:val="000000"/>
        </w:rPr>
        <w:t>Author</w:t>
      </w:r>
      <w:r w:rsidRPr="007C09B9">
        <w:rPr>
          <w:rFonts w:ascii="Times New Roman" w:hAnsi="Times New Roman" w:cs="Times New Roman"/>
          <w:color w:val="000000"/>
        </w:rPr>
        <w:t>: Sanada Naco</w:t>
      </w:r>
      <w:r w:rsidRPr="007C09B9">
        <w:rPr>
          <w:rFonts w:ascii="Times New Roman" w:hAnsi="Times New Roman" w:cs="Times New Roman"/>
          <w:color w:val="000000"/>
        </w:rPr>
        <w:br/>
      </w:r>
      <w:r w:rsidRPr="007C09B9">
        <w:rPr>
          <w:rStyle w:val="Strong"/>
          <w:rFonts w:ascii="Times New Roman" w:hAnsi="Times New Roman" w:cs="Times New Roman"/>
          <w:color w:val="000000"/>
        </w:rPr>
        <w:t>Date</w:t>
      </w:r>
      <w:r w:rsidRPr="007C09B9">
        <w:rPr>
          <w:rFonts w:ascii="Times New Roman" w:hAnsi="Times New Roman" w:cs="Times New Roman"/>
          <w:color w:val="000000"/>
        </w:rPr>
        <w:t>: May 10, 2025</w:t>
      </w:r>
      <w:r w:rsidRPr="007C09B9">
        <w:rPr>
          <w:rFonts w:ascii="Times New Roman" w:hAnsi="Times New Roman" w:cs="Times New Roman"/>
          <w:color w:val="000000"/>
        </w:rPr>
        <w:br/>
      </w:r>
      <w:r w:rsidRPr="007C09B9">
        <w:rPr>
          <w:rStyle w:val="Strong"/>
          <w:rFonts w:ascii="Times New Roman" w:hAnsi="Times New Roman" w:cs="Times New Roman"/>
          <w:color w:val="000000"/>
        </w:rPr>
        <w:t>Project Title</w:t>
      </w:r>
      <w:r w:rsidRPr="007C09B9">
        <w:rPr>
          <w:rFonts w:ascii="Times New Roman" w:hAnsi="Times New Roman" w:cs="Times New Roman"/>
          <w:color w:val="000000"/>
        </w:rPr>
        <w:t>: ESG and Financial Indicators Analysis</w:t>
      </w:r>
    </w:p>
    <w:p w14:paraId="65778735" w14:textId="77777777" w:rsidR="007C09B9" w:rsidRP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14:ligatures w14:val="none"/>
        </w:rPr>
      </w:pPr>
      <w:r w:rsidRPr="007C09B9">
        <w:rPr>
          <w:rFonts w:ascii="Times New Roman" w:eastAsia="Times New Roman" w:hAnsi="Times New Roman" w:cs="Times New Roman"/>
          <w:b/>
          <w:bCs/>
          <w:color w:val="000000"/>
          <w:kern w:val="0"/>
          <w14:ligatures w14:val="none"/>
        </w:rPr>
        <w:t>1. Aim of the Project</w:t>
      </w:r>
    </w:p>
    <w:p w14:paraId="358AE528" w14:textId="77777777" w:rsidR="007C09B9" w:rsidRPr="007C09B9" w:rsidRDefault="007C09B9" w:rsidP="007C09B9">
      <w:p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The aim of this project is to investigate the relationship between companies’ ESG (Environmental, Social, and Governance) performance and their financial and environmental indicators over the years 2015–2025. It also evaluates how ESG scores vary by industry and region, and explores the predictive power of financial variables on ESG scores.</w:t>
      </w:r>
    </w:p>
    <w:p w14:paraId="649CB5D6" w14:textId="77777777" w:rsidR="007C09B9" w:rsidRP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14:ligatures w14:val="none"/>
        </w:rPr>
      </w:pPr>
      <w:r w:rsidRPr="007C09B9">
        <w:rPr>
          <w:rFonts w:ascii="Times New Roman" w:eastAsia="Times New Roman" w:hAnsi="Times New Roman" w:cs="Times New Roman"/>
          <w:b/>
          <w:bCs/>
          <w:color w:val="000000"/>
          <w:kern w:val="0"/>
          <w14:ligatures w14:val="none"/>
        </w:rPr>
        <w:t>2. Data Source and Variables</w:t>
      </w:r>
    </w:p>
    <w:p w14:paraId="180D0311" w14:textId="085754CE" w:rsidR="007C09B9" w:rsidRPr="007C09B9" w:rsidRDefault="007C09B9" w:rsidP="007C09B9">
      <w:p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The dataset used in this project was obtained from Kaggle:</w:t>
      </w:r>
      <w:r w:rsidRPr="007C09B9">
        <w:rPr>
          <w:rFonts w:ascii="Times New Roman" w:eastAsia="Times New Roman" w:hAnsi="Times New Roman" w:cs="Times New Roman"/>
          <w:color w:val="000000"/>
          <w:kern w:val="0"/>
          <w14:ligatures w14:val="none"/>
        </w:rPr>
        <w:t xml:space="preserve"> </w:t>
      </w:r>
      <w:hyperlink r:id="rId5" w:tgtFrame="_new" w:history="1">
        <w:r w:rsidRPr="007C09B9">
          <w:rPr>
            <w:rFonts w:ascii="Times New Roman" w:eastAsia="Times New Roman" w:hAnsi="Times New Roman" w:cs="Times New Roman"/>
            <w:color w:val="0000FF"/>
            <w:kern w:val="0"/>
            <w:u w:val="single"/>
            <w14:ligatures w14:val="none"/>
          </w:rPr>
          <w:t>ESG and Financial Performance Dataset</w:t>
        </w:r>
      </w:hyperlink>
      <w:r w:rsidRPr="007C09B9">
        <w:rPr>
          <w:rFonts w:ascii="Times New Roman" w:eastAsia="Times New Roman" w:hAnsi="Times New Roman" w:cs="Times New Roman"/>
          <w:color w:val="000000"/>
          <w:kern w:val="0"/>
          <w14:ligatures w14:val="none"/>
        </w:rPr>
        <w:t xml:space="preserve">. </w:t>
      </w:r>
      <w:r w:rsidRPr="007C09B9">
        <w:rPr>
          <w:rFonts w:ascii="Times New Roman" w:eastAsia="Times New Roman" w:hAnsi="Times New Roman" w:cs="Times New Roman"/>
          <w:color w:val="000000"/>
          <w:kern w:val="0"/>
          <w14:ligatures w14:val="none"/>
        </w:rPr>
        <w:t>It contains company-level ESG and financial performance indicators from 2015 to 2025, totaling 11,000 observations. The key variables include:</w:t>
      </w:r>
    </w:p>
    <w:p w14:paraId="463B5D2C" w14:textId="77777777" w:rsidR="007C09B9" w:rsidRPr="007C09B9" w:rsidRDefault="007C09B9" w:rsidP="007C09B9">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b/>
          <w:bCs/>
          <w:color w:val="000000"/>
          <w:kern w:val="0"/>
          <w14:ligatures w14:val="none"/>
        </w:rPr>
        <w:t>Dependent Variable</w:t>
      </w:r>
      <w:r w:rsidRPr="007C09B9">
        <w:rPr>
          <w:rFonts w:ascii="Times New Roman" w:eastAsia="Times New Roman" w:hAnsi="Times New Roman" w:cs="Times New Roman"/>
          <w:color w:val="000000"/>
          <w:kern w:val="0"/>
          <w14:ligatures w14:val="none"/>
        </w:rPr>
        <w:t>: ESG_Overall – the overall ESG score of each company.</w:t>
      </w:r>
    </w:p>
    <w:p w14:paraId="6E722B16" w14:textId="77777777" w:rsidR="007C09B9" w:rsidRPr="007C09B9" w:rsidRDefault="007C09B9" w:rsidP="007C09B9">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b/>
          <w:bCs/>
          <w:color w:val="000000"/>
          <w:kern w:val="0"/>
          <w14:ligatures w14:val="none"/>
        </w:rPr>
        <w:t>Independent Variables</w:t>
      </w:r>
      <w:r w:rsidRPr="007C09B9">
        <w:rPr>
          <w:rFonts w:ascii="Times New Roman" w:eastAsia="Times New Roman" w:hAnsi="Times New Roman" w:cs="Times New Roman"/>
          <w:color w:val="000000"/>
          <w:kern w:val="0"/>
          <w14:ligatures w14:val="none"/>
        </w:rPr>
        <w:t>:</w:t>
      </w:r>
    </w:p>
    <w:p w14:paraId="2CEBDD7C"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Revenue (log-transformed)</w:t>
      </w:r>
    </w:p>
    <w:p w14:paraId="6F9CA680"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MarketCap (log-transformed)</w:t>
      </w:r>
    </w:p>
    <w:p w14:paraId="67AC6F23"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CarbonEmissions (log-transformed)</w:t>
      </w:r>
    </w:p>
    <w:p w14:paraId="5D308E78"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ProfitMargin</w:t>
      </w:r>
    </w:p>
    <w:p w14:paraId="2AD67BFE"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GrowthRate</w:t>
      </w:r>
    </w:p>
    <w:p w14:paraId="015F966B"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Industry</w:t>
      </w:r>
    </w:p>
    <w:p w14:paraId="4B1A43DD" w14:textId="77777777" w:rsidR="007C09B9" w:rsidRPr="007C09B9" w:rsidRDefault="007C09B9" w:rsidP="007C09B9">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Region</w:t>
      </w:r>
    </w:p>
    <w:p w14:paraId="7A3A9893" w14:textId="4A2D57A7" w:rsidR="007C09B9" w:rsidRP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14:ligatures w14:val="none"/>
        </w:rPr>
      </w:pPr>
      <w:r w:rsidRPr="007C09B9">
        <w:rPr>
          <w:rFonts w:ascii="Times New Roman" w:eastAsia="Times New Roman" w:hAnsi="Times New Roman" w:cs="Times New Roman"/>
          <w:b/>
          <w:bCs/>
          <w:color w:val="000000"/>
          <w:kern w:val="0"/>
          <w14:ligatures w14:val="none"/>
        </w:rPr>
        <w:t>3. Data Cleaning and Tidying</w:t>
      </w:r>
      <w:r w:rsidR="007B7600">
        <w:rPr>
          <w:rFonts w:ascii="Times New Roman" w:eastAsia="Times New Roman" w:hAnsi="Times New Roman" w:cs="Times New Roman"/>
          <w:b/>
          <w:bCs/>
          <w:color w:val="000000"/>
          <w:kern w:val="0"/>
          <w14:ligatures w14:val="none"/>
        </w:rPr>
        <w:t xml:space="preserve"> &amp; EDA</w:t>
      </w:r>
    </w:p>
    <w:p w14:paraId="34FC2C33" w14:textId="77777777" w:rsidR="007C09B9" w:rsidRPr="007C09B9" w:rsidRDefault="007C09B9" w:rsidP="007C09B9">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Checked the structure of the dataset and variable types</w:t>
      </w:r>
    </w:p>
    <w:p w14:paraId="4938707A" w14:textId="77777777" w:rsidR="007C09B9" w:rsidRPr="007C09B9" w:rsidRDefault="007C09B9" w:rsidP="007C09B9">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Converted CompanyID to character and Year to integer</w:t>
      </w:r>
    </w:p>
    <w:p w14:paraId="153FCAE5" w14:textId="77777777" w:rsidR="007C09B9" w:rsidRDefault="007C09B9" w:rsidP="007C09B9">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Summarized the data to understand distributions and possible data entry issues</w:t>
      </w:r>
    </w:p>
    <w:p w14:paraId="483E3DDC" w14:textId="0F81FE41" w:rsidR="0086298A" w:rsidRPr="0086298A" w:rsidRDefault="0086298A" w:rsidP="0086298A">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86298A">
        <w:rPr>
          <w:rFonts w:ascii="Times New Roman" w:hAnsi="Times New Roman" w:cs="Times New Roman"/>
          <w:color w:val="000000"/>
        </w:rPr>
        <w:t>The dataset consists of 11,000 observations across 16 variables, capturing company-level information such as industry, region, year, financial performance, environmental impact, and ESG scores from 2015 to 2025. Categorical fields like</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Industry</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and</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Region</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describe each company's classification, while numeric variables represent financial indicators and ESG metrics. A summary of the data reveals substantial variation in company size and performance. For instance,</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Revenue</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ranges from as low as 36 to over 180,000, with a mean of 4,691 but a much lower median of 1,890, indicating the presence of a few very large firms that skew the average. Similar patterns are seen in</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MarketCap</w:t>
      </w:r>
      <w:r w:rsidRPr="0086298A">
        <w:rPr>
          <w:rFonts w:ascii="Times New Roman" w:hAnsi="Times New Roman" w:cs="Times New Roman"/>
          <w:color w:val="000000"/>
        </w:rPr>
        <w:t>,</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CarbonEmissions</w:t>
      </w:r>
      <w:r w:rsidRPr="0086298A">
        <w:rPr>
          <w:rFonts w:ascii="Times New Roman" w:hAnsi="Times New Roman" w:cs="Times New Roman"/>
          <w:color w:val="000000"/>
        </w:rPr>
        <w:t>, and</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EnergyConsumption</w:t>
      </w:r>
      <w:r w:rsidRPr="0086298A">
        <w:rPr>
          <w:rFonts w:ascii="Times New Roman" w:hAnsi="Times New Roman" w:cs="Times New Roman"/>
          <w:color w:val="000000"/>
        </w:rPr>
        <w:t>, all of which show extreme upper values and strong right-skewness, justifying the need for log transformation during modeling. ESG-related variables</w:t>
      </w:r>
      <w:r>
        <w:rPr>
          <w:rFonts w:ascii="-webkit-standard" w:hAnsi="-webkit-standard"/>
          <w:color w:val="000000"/>
          <w:sz w:val="27"/>
          <w:szCs w:val="27"/>
        </w:rPr>
        <w:t xml:space="preserve"> </w:t>
      </w:r>
      <w:r w:rsidRPr="0086298A">
        <w:rPr>
          <w:rFonts w:ascii="Times New Roman" w:hAnsi="Times New Roman" w:cs="Times New Roman"/>
          <w:color w:val="000000"/>
        </w:rPr>
        <w:t>(</w:t>
      </w:r>
      <w:r w:rsidRPr="0086298A">
        <w:rPr>
          <w:rStyle w:val="HTMLCode"/>
          <w:rFonts w:ascii="Times New Roman" w:eastAsiaTheme="majorEastAsia" w:hAnsi="Times New Roman" w:cs="Times New Roman"/>
          <w:color w:val="000000"/>
          <w:sz w:val="24"/>
          <w:szCs w:val="24"/>
        </w:rPr>
        <w:t>ESG_Overall</w:t>
      </w:r>
      <w:r w:rsidRPr="0086298A">
        <w:rPr>
          <w:rFonts w:ascii="Times New Roman" w:hAnsi="Times New Roman" w:cs="Times New Roman"/>
          <w:color w:val="000000"/>
        </w:rPr>
        <w:t>,</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ESG_Environmental</w:t>
      </w:r>
      <w:r w:rsidRPr="0086298A">
        <w:rPr>
          <w:rFonts w:ascii="Times New Roman" w:hAnsi="Times New Roman" w:cs="Times New Roman"/>
          <w:color w:val="000000"/>
        </w:rPr>
        <w:t>,</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ESG_Social</w:t>
      </w:r>
      <w:r w:rsidRPr="0086298A">
        <w:rPr>
          <w:rFonts w:ascii="Times New Roman" w:hAnsi="Times New Roman" w:cs="Times New Roman"/>
          <w:color w:val="000000"/>
        </w:rPr>
        <w:t>,</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ESG_Governance</w:t>
      </w:r>
      <w:r w:rsidRPr="0086298A">
        <w:rPr>
          <w:rFonts w:ascii="Times New Roman" w:hAnsi="Times New Roman" w:cs="Times New Roman"/>
          <w:color w:val="000000"/>
        </w:rPr>
        <w:t>) are on a standardized 0–100 scale and appear relatively balanced, with medians around 50–55. However, nearly all key variables contain missing values—typically around 1,000 observations per variable—highlighting the importance of careful imputation.</w:t>
      </w:r>
    </w:p>
    <w:p w14:paraId="2EF13CB4" w14:textId="47E7AB19" w:rsidR="007C09B9" w:rsidRDefault="007C09B9" w:rsidP="004A6F95">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55280C1B" wp14:editId="401ED148">
            <wp:extent cx="2597791" cy="1412006"/>
            <wp:effectExtent l="0" t="0" r="0" b="0"/>
            <wp:docPr id="1704226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26518" name="Picture 1" descr="A screenshot of a computer scree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0107" cy="1440442"/>
                    </a:xfrm>
                    <a:prstGeom prst="rect">
                      <a:avLst/>
                    </a:prstGeom>
                  </pic:spPr>
                </pic:pic>
              </a:graphicData>
            </a:graphic>
          </wp:inline>
        </w:drawing>
      </w:r>
      <w:r>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noProof/>
          <w:color w:val="000000"/>
          <w:kern w:val="0"/>
        </w:rPr>
        <w:drawing>
          <wp:inline distT="0" distB="0" distL="0" distR="0" wp14:anchorId="07FEACE0" wp14:editId="06159951">
            <wp:extent cx="3045460" cy="1408685"/>
            <wp:effectExtent l="0" t="0" r="2540" b="1270"/>
            <wp:docPr id="139022296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22962"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2789" cy="1430577"/>
                    </a:xfrm>
                    <a:prstGeom prst="rect">
                      <a:avLst/>
                    </a:prstGeom>
                  </pic:spPr>
                </pic:pic>
              </a:graphicData>
            </a:graphic>
          </wp:inline>
        </w:drawing>
      </w:r>
    </w:p>
    <w:p w14:paraId="385E4BBC" w14:textId="77777777" w:rsidR="007B7600" w:rsidRPr="007B7600" w:rsidRDefault="007B7600" w:rsidP="007B7600">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0680B616" w14:textId="77777777" w:rsidR="007B7600" w:rsidRPr="007B7600" w:rsidRDefault="007B7600" w:rsidP="007B7600">
      <w:pPr>
        <w:spacing w:before="100" w:beforeAutospacing="1" w:after="100" w:afterAutospacing="1" w:line="240" w:lineRule="auto"/>
        <w:rPr>
          <w:rFonts w:ascii="Times New Roman" w:eastAsia="Times New Roman" w:hAnsi="Times New Roman" w:cs="Times New Roman"/>
          <w:color w:val="000000"/>
          <w:kern w:val="0"/>
          <w14:ligatures w14:val="none"/>
        </w:rPr>
      </w:pPr>
    </w:p>
    <w:p w14:paraId="387515F4" w14:textId="77777777" w:rsidR="007B7600" w:rsidRPr="007B7600" w:rsidRDefault="007B7600" w:rsidP="007B7600">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3A299B8C" w14:textId="188F2DEA" w:rsidR="00356D9F" w:rsidRDefault="00356D9F" w:rsidP="00356D9F">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b/>
          <w:bCs/>
          <w:color w:val="000000"/>
          <w:kern w:val="0"/>
          <w14:ligatures w14:val="none"/>
        </w:rPr>
        <w:t>Histograms</w:t>
      </w:r>
      <w:r w:rsidRPr="004A6F95">
        <w:rPr>
          <w:rFonts w:ascii="Times New Roman" w:eastAsia="Times New Roman" w:hAnsi="Times New Roman" w:cs="Times New Roman"/>
          <w:color w:val="000000"/>
          <w:kern w:val="0"/>
          <w14:ligatures w14:val="none"/>
        </w:rPr>
        <w:t> </w:t>
      </w:r>
    </w:p>
    <w:p w14:paraId="63D898BF" w14:textId="77777777" w:rsidR="00C80D31" w:rsidRPr="00C80D31" w:rsidRDefault="00C80D31" w:rsidP="00C80D31">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C80D31">
        <w:rPr>
          <w:rFonts w:ascii="Times New Roman" w:hAnsi="Times New Roman" w:cs="Times New Roman"/>
          <w:color w:val="000000"/>
        </w:rPr>
        <w:t>Several financial and environmental variables such as</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Revenue</w:t>
      </w:r>
      <w:r w:rsidRPr="00C80D31">
        <w:rPr>
          <w:rFonts w:ascii="Times New Roman" w:hAnsi="Times New Roman" w:cs="Times New Roman"/>
          <w:color w:val="000000"/>
        </w:rPr>
        <w:t>,</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MarketCap</w:t>
      </w:r>
      <w:r w:rsidRPr="00C80D31">
        <w:rPr>
          <w:rFonts w:ascii="Times New Roman" w:hAnsi="Times New Roman" w:cs="Times New Roman"/>
          <w:color w:val="000000"/>
        </w:rPr>
        <w:t>,</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CarbonEmissions</w:t>
      </w:r>
      <w:r w:rsidRPr="00C80D31">
        <w:rPr>
          <w:rFonts w:ascii="Times New Roman" w:hAnsi="Times New Roman" w:cs="Times New Roman"/>
          <w:color w:val="000000"/>
        </w:rPr>
        <w:t>, and</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EnergyConsumption</w:t>
      </w:r>
      <w:r w:rsidRPr="00C80D31">
        <w:rPr>
          <w:rFonts w:ascii="Times New Roman" w:hAnsi="Times New Roman" w:cs="Times New Roman"/>
          <w:color w:val="000000"/>
        </w:rPr>
        <w:t>were highly right-skewed, with a few companies showing extremely large values. To correct this and make the data more suitable for linear modeling, we applied log transformations. The resulting distributions were much closer to normal, improving model assumptions like linearity and constant variance. ESG scores and variables like</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ProfitMargin</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and</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GrowthRate</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already had roughly symmetric distributions and did not require transformation. These steps ensured the dataset was well-prepared for regression analysis.</w:t>
      </w:r>
    </w:p>
    <w:p w14:paraId="6056250F" w14:textId="77777777" w:rsidR="00C80D31" w:rsidRDefault="00C80D31" w:rsidP="00C80D31">
      <w:pPr>
        <w:spacing w:before="100" w:beforeAutospacing="1" w:after="100" w:afterAutospacing="1" w:line="240" w:lineRule="auto"/>
        <w:ind w:left="360"/>
        <w:rPr>
          <w:rFonts w:ascii="Times New Roman" w:eastAsia="Times New Roman" w:hAnsi="Times New Roman" w:cs="Times New Roman"/>
          <w:color w:val="000000"/>
          <w:kern w:val="0"/>
          <w14:ligatures w14:val="none"/>
        </w:rPr>
      </w:pPr>
    </w:p>
    <w:p w14:paraId="6941105D" w14:textId="77777777" w:rsidR="00356D9F" w:rsidRDefault="00356D9F" w:rsidP="00356D9F">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001DBD12" wp14:editId="66A33714">
            <wp:extent cx="2207255" cy="1498322"/>
            <wp:effectExtent l="0" t="0" r="3175" b="635"/>
            <wp:docPr id="2092671847" name="Picture 4"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1847" name="Picture 4" descr="A graph of different types of data&#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1058" cy="1541633"/>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45F6F1C9" wp14:editId="2DA67A01">
            <wp:extent cx="2257225" cy="1532242"/>
            <wp:effectExtent l="0" t="0" r="3810" b="5080"/>
            <wp:docPr id="1877159374" name="Picture 5" descr="A group of green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501" name="Picture 5" descr="A group of green and white graph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8644" cy="1546782"/>
                    </a:xfrm>
                    <a:prstGeom prst="rect">
                      <a:avLst/>
                    </a:prstGeom>
                  </pic:spPr>
                </pic:pic>
              </a:graphicData>
            </a:graphic>
          </wp:inline>
        </w:drawing>
      </w:r>
    </w:p>
    <w:p w14:paraId="489A1DD9" w14:textId="4CC024CA" w:rsidR="00C80D31" w:rsidRPr="00C80D31" w:rsidRDefault="00C80D31" w:rsidP="00356D9F">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C80D31">
        <w:rPr>
          <w:rFonts w:ascii="-webkit-standard" w:hAnsi="-webkit-standard"/>
          <w:b/>
          <w:bCs/>
          <w:color w:val="000000"/>
          <w:sz w:val="27"/>
          <w:szCs w:val="27"/>
        </w:rPr>
        <w:t>Correlation Plots</w:t>
      </w:r>
    </w:p>
    <w:p w14:paraId="339C77A4" w14:textId="77777777" w:rsidR="00C80D31" w:rsidRPr="0086298A" w:rsidRDefault="00C80D31" w:rsidP="00C80D31">
      <w:pPr>
        <w:spacing w:before="100" w:beforeAutospacing="1" w:after="100" w:afterAutospacing="1" w:line="240" w:lineRule="auto"/>
        <w:rPr>
          <w:rFonts w:ascii="Times New Roman" w:eastAsia="Times New Roman" w:hAnsi="Times New Roman" w:cs="Times New Roman"/>
          <w:color w:val="000000"/>
          <w:kern w:val="0"/>
          <w14:ligatures w14:val="none"/>
        </w:rPr>
      </w:pPr>
      <w:r w:rsidRPr="0086298A">
        <w:rPr>
          <w:rFonts w:ascii="Times New Roman" w:hAnsi="Times New Roman" w:cs="Times New Roman"/>
          <w:color w:val="000000"/>
        </w:rPr>
        <w:t>The correlation analysis showed that</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ESG_Overall</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has moderate positive relationships with its component scores—Environmental, Social, and Governance—which confirms internal consistency. However, its correlation with financial variables like</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log_Revenue</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and</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ProfitMargin</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was positive but weak, suggesting that larger or more profitable companies tend to score slightly higher on ESG, but the relationship is limited. Environmental impact variables such as</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CarbonEmissions</w:t>
      </w:r>
      <w:r w:rsidRPr="0086298A">
        <w:rPr>
          <w:rFonts w:ascii="Times New Roman" w:hAnsi="Times New Roman" w:cs="Times New Roman"/>
          <w:color w:val="000000"/>
        </w:rPr>
        <w:t>,</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WaterUsage</w:t>
      </w:r>
      <w:r w:rsidRPr="0086298A">
        <w:rPr>
          <w:rFonts w:ascii="Times New Roman" w:hAnsi="Times New Roman" w:cs="Times New Roman"/>
          <w:color w:val="000000"/>
        </w:rPr>
        <w:t>, and</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EnergyConsumption</w:t>
      </w:r>
      <w:r w:rsidRPr="0086298A">
        <w:rPr>
          <w:rStyle w:val="apple-converted-space"/>
          <w:rFonts w:ascii="Times New Roman" w:hAnsi="Times New Roman" w:cs="Times New Roman"/>
          <w:color w:val="000000"/>
        </w:rPr>
        <w:t> </w:t>
      </w:r>
      <w:r w:rsidRPr="0086298A">
        <w:rPr>
          <w:rFonts w:ascii="Times New Roman" w:hAnsi="Times New Roman" w:cs="Times New Roman"/>
          <w:color w:val="000000"/>
        </w:rPr>
        <w:t>were highly correlated with each other, indicating that they reflect similar underlying company behaviors. These high inter-correlations justify the decision to include only one of them (e.g.,</w:t>
      </w:r>
      <w:r w:rsidRPr="0086298A">
        <w:rPr>
          <w:rStyle w:val="apple-converted-space"/>
          <w:rFonts w:ascii="Times New Roman" w:hAnsi="Times New Roman" w:cs="Times New Roman"/>
          <w:color w:val="000000"/>
        </w:rPr>
        <w:t> </w:t>
      </w:r>
      <w:r w:rsidRPr="0086298A">
        <w:rPr>
          <w:rStyle w:val="HTMLCode"/>
          <w:rFonts w:ascii="Times New Roman" w:eastAsiaTheme="majorEastAsia" w:hAnsi="Times New Roman" w:cs="Times New Roman"/>
          <w:color w:val="000000"/>
          <w:sz w:val="24"/>
          <w:szCs w:val="24"/>
        </w:rPr>
        <w:t>log_CarbonEmissions</w:t>
      </w:r>
      <w:r w:rsidRPr="0086298A">
        <w:rPr>
          <w:rFonts w:ascii="Times New Roman" w:hAnsi="Times New Roman" w:cs="Times New Roman"/>
          <w:color w:val="000000"/>
        </w:rPr>
        <w:t xml:space="preserve">) in the final regression model to avoid </w:t>
      </w:r>
      <w:r w:rsidRPr="0086298A">
        <w:rPr>
          <w:rFonts w:ascii="Times New Roman" w:hAnsi="Times New Roman" w:cs="Times New Roman"/>
          <w:color w:val="000000"/>
        </w:rPr>
        <w:lastRenderedPageBreak/>
        <w:t>multicollinearity. Overall, the results align with expectations and support the variable selections made during model building.</w:t>
      </w:r>
    </w:p>
    <w:p w14:paraId="6E407732" w14:textId="7A7D13A4" w:rsidR="00356D9F" w:rsidRDefault="00356D9F" w:rsidP="004A6F95">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1366EB82" wp14:editId="3B3046E9">
            <wp:extent cx="2876921" cy="1797996"/>
            <wp:effectExtent l="0" t="0" r="0" b="5715"/>
            <wp:docPr id="2101399082"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9082" name="Picture 12"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5073" cy="181559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2B677A08" wp14:editId="7911CE9D">
            <wp:extent cx="2813538" cy="1909877"/>
            <wp:effectExtent l="0" t="0" r="0" b="0"/>
            <wp:docPr id="2123491374"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91374" name="Picture 13" descr="A screen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0998" cy="1928517"/>
                    </a:xfrm>
                    <a:prstGeom prst="rect">
                      <a:avLst/>
                    </a:prstGeom>
                  </pic:spPr>
                </pic:pic>
              </a:graphicData>
            </a:graphic>
          </wp:inline>
        </w:drawing>
      </w:r>
    </w:p>
    <w:p w14:paraId="58304919" w14:textId="77777777" w:rsidR="00C80D31" w:rsidRDefault="007B7600" w:rsidP="00C80D31">
      <w:pPr>
        <w:numPr>
          <w:ilvl w:val="0"/>
          <w:numId w:val="11"/>
        </w:num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b/>
          <w:bCs/>
          <w:color w:val="000000"/>
          <w:kern w:val="0"/>
          <w14:ligatures w14:val="none"/>
        </w:rPr>
        <w:t>Correlation analysis</w:t>
      </w:r>
      <w:r w:rsidRPr="004A6F95">
        <w:rPr>
          <w:rFonts w:ascii="Times New Roman" w:eastAsia="Times New Roman" w:hAnsi="Times New Roman" w:cs="Times New Roman"/>
          <w:color w:val="000000"/>
          <w:kern w:val="0"/>
          <w14:ligatures w14:val="none"/>
        </w:rPr>
        <w:t> </w:t>
      </w:r>
    </w:p>
    <w:p w14:paraId="2229703D" w14:textId="7F6170C6" w:rsidR="00C80D31" w:rsidRPr="00C80D31" w:rsidRDefault="00C80D31" w:rsidP="00C80D31">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C80D31">
        <w:rPr>
          <w:rFonts w:ascii="Times New Roman" w:hAnsi="Times New Roman" w:cs="Times New Roman"/>
          <w:color w:val="000000"/>
        </w:rPr>
        <w:t>The correlation matrix highlights strong positive relationships among size-related variables such as</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Revenue</w:t>
      </w:r>
      <w:r w:rsidRPr="00C80D31">
        <w:rPr>
          <w:rFonts w:ascii="Times New Roman" w:hAnsi="Times New Roman" w:cs="Times New Roman"/>
          <w:color w:val="000000"/>
        </w:rPr>
        <w:t>,</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MarketCap</w:t>
      </w:r>
      <w:r w:rsidRPr="00C80D31">
        <w:rPr>
          <w:rFonts w:ascii="Times New Roman" w:hAnsi="Times New Roman" w:cs="Times New Roman"/>
          <w:color w:val="000000"/>
        </w:rPr>
        <w:t>, and their log-transformed counterparts, with coefficients above 0.80–0.90. Environmental impact measures like</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CarbonEmissions</w:t>
      </w:r>
      <w:r w:rsidRPr="00C80D31">
        <w:rPr>
          <w:rFonts w:ascii="Times New Roman" w:hAnsi="Times New Roman" w:cs="Times New Roman"/>
          <w:color w:val="000000"/>
        </w:rPr>
        <w:t>,</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EnergyConsumption</w:t>
      </w:r>
      <w:r w:rsidRPr="00C80D31">
        <w:rPr>
          <w:rFonts w:ascii="Times New Roman" w:hAnsi="Times New Roman" w:cs="Times New Roman"/>
          <w:color w:val="000000"/>
        </w:rPr>
        <w:t>, and</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WaterUsage</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also show high correlations, reflecting their common underlying drivers.</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ESG_Overall</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is moderately correlated with its components—Environmental, Social, and Governance—as expected. However, its correlation with financial variables like</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Profit</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and</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Revenue</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remains low to moderate (around 0.25–0.30), indicating that while financial size may play a role, it is not a dominant factor in ESG performance.</w:t>
      </w:r>
    </w:p>
    <w:p w14:paraId="214C13E2" w14:textId="77777777" w:rsidR="007B7600" w:rsidRDefault="007B7600" w:rsidP="007B7600">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7EA38CA8" wp14:editId="3A201CD6">
            <wp:extent cx="3325091" cy="2078090"/>
            <wp:effectExtent l="0" t="0" r="2540" b="5080"/>
            <wp:docPr id="1152348752" name="Picture 6"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8752" name="Picture 6" descr="A graph with numbers and a bar char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469" cy="2114574"/>
                    </a:xfrm>
                    <a:prstGeom prst="rect">
                      <a:avLst/>
                    </a:prstGeom>
                  </pic:spPr>
                </pic:pic>
              </a:graphicData>
            </a:graphic>
          </wp:inline>
        </w:drawing>
      </w:r>
    </w:p>
    <w:p w14:paraId="7CCB77CF" w14:textId="56645DD4" w:rsidR="00393337" w:rsidRPr="004A6F95" w:rsidRDefault="00393337" w:rsidP="00393337">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393337">
        <w:rPr>
          <w:rFonts w:ascii="Times New Roman" w:eastAsia="Times New Roman" w:hAnsi="Times New Roman" w:cs="Times New Roman"/>
          <w:b/>
          <w:bCs/>
          <w:color w:val="000000"/>
          <w:kern w:val="0"/>
          <w14:ligatures w14:val="none"/>
        </w:rPr>
        <w:t>Research Questions:</w:t>
      </w:r>
    </w:p>
    <w:p w14:paraId="0D28EC61" w14:textId="20E36D84" w:rsidR="007B7600" w:rsidRPr="00393337" w:rsidRDefault="00393337" w:rsidP="00393337">
      <w:pPr>
        <w:spacing w:before="100" w:beforeAutospacing="1" w:after="100" w:afterAutospacing="1" w:line="240" w:lineRule="auto"/>
        <w:rPr>
          <w:rStyle w:val="apple-converted-space"/>
          <w:rFonts w:ascii="Times New Roman" w:hAnsi="Times New Roman" w:cs="Times New Roman"/>
          <w:color w:val="000000"/>
        </w:rPr>
      </w:pPr>
      <w:r w:rsidRPr="00393337">
        <w:rPr>
          <w:rFonts w:ascii="Times New Roman" w:hAnsi="Times New Roman" w:cs="Times New Roman"/>
          <w:color w:val="000000"/>
        </w:rPr>
        <w:t>How has ESG performance changed over time (2015–2025)?</w:t>
      </w:r>
      <w:r w:rsidRPr="00393337">
        <w:rPr>
          <w:rStyle w:val="apple-converted-space"/>
          <w:rFonts w:ascii="Times New Roman" w:hAnsi="Times New Roman" w:cs="Times New Roman"/>
          <w:color w:val="000000"/>
        </w:rPr>
        <w:t> </w:t>
      </w:r>
    </w:p>
    <w:p w14:paraId="3EB020A6" w14:textId="6BFDB66C" w:rsidR="00393337" w:rsidRPr="00393337" w:rsidRDefault="00393337" w:rsidP="004A6F95">
      <w:pPr>
        <w:spacing w:before="100" w:beforeAutospacing="1" w:after="100" w:afterAutospacing="1" w:line="240" w:lineRule="auto"/>
        <w:rPr>
          <w:rStyle w:val="apple-converted-space"/>
          <w:rFonts w:ascii="Times New Roman" w:hAnsi="Times New Roman" w:cs="Times New Roman"/>
          <w:color w:val="000000"/>
        </w:rPr>
      </w:pPr>
      <w:r w:rsidRPr="00393337">
        <w:rPr>
          <w:rFonts w:ascii="Times New Roman" w:hAnsi="Times New Roman" w:cs="Times New Roman"/>
          <w:color w:val="000000"/>
        </w:rPr>
        <w:t>To examine how ESG performance has evolved, we plotted the</w:t>
      </w:r>
      <w:r w:rsidRPr="00393337">
        <w:rPr>
          <w:rStyle w:val="apple-converted-space"/>
          <w:rFonts w:ascii="Times New Roman" w:hAnsi="Times New Roman" w:cs="Times New Roman"/>
          <w:color w:val="000000"/>
        </w:rPr>
        <w:t> </w:t>
      </w:r>
      <w:r w:rsidRPr="00393337">
        <w:rPr>
          <w:rStyle w:val="Strong"/>
          <w:rFonts w:ascii="Times New Roman" w:hAnsi="Times New Roman" w:cs="Times New Roman"/>
          <w:color w:val="000000"/>
        </w:rPr>
        <w:t>mean ESG_Overall score</w:t>
      </w:r>
      <w:r w:rsidRPr="00393337">
        <w:rPr>
          <w:rStyle w:val="apple-converted-space"/>
          <w:rFonts w:ascii="Times New Roman" w:hAnsi="Times New Roman" w:cs="Times New Roman"/>
          <w:color w:val="000000"/>
        </w:rPr>
        <w:t> </w:t>
      </w:r>
      <w:r w:rsidRPr="00393337">
        <w:rPr>
          <w:rFonts w:ascii="Times New Roman" w:hAnsi="Times New Roman" w:cs="Times New Roman"/>
          <w:color w:val="000000"/>
        </w:rPr>
        <w:t>for each year between 2015 and 2025. The line chart reveals a</w:t>
      </w:r>
      <w:r w:rsidRPr="00393337">
        <w:rPr>
          <w:rStyle w:val="apple-converted-space"/>
          <w:rFonts w:ascii="Times New Roman" w:hAnsi="Times New Roman" w:cs="Times New Roman"/>
          <w:color w:val="000000"/>
        </w:rPr>
        <w:t> </w:t>
      </w:r>
      <w:r w:rsidRPr="00393337">
        <w:rPr>
          <w:rStyle w:val="Strong"/>
          <w:rFonts w:ascii="Times New Roman" w:hAnsi="Times New Roman" w:cs="Times New Roman"/>
          <w:color w:val="000000"/>
        </w:rPr>
        <w:t>clear upward trend</w:t>
      </w:r>
      <w:r w:rsidRPr="00393337">
        <w:rPr>
          <w:rFonts w:ascii="Times New Roman" w:hAnsi="Times New Roman" w:cs="Times New Roman"/>
          <w:color w:val="000000"/>
        </w:rPr>
        <w:t>: the average ESG score increased from approximately</w:t>
      </w:r>
      <w:r w:rsidRPr="00393337">
        <w:rPr>
          <w:rStyle w:val="apple-converted-space"/>
          <w:rFonts w:ascii="Times New Roman" w:hAnsi="Times New Roman" w:cs="Times New Roman"/>
          <w:color w:val="000000"/>
        </w:rPr>
        <w:t> </w:t>
      </w:r>
      <w:r w:rsidRPr="00393337">
        <w:rPr>
          <w:rStyle w:val="Strong"/>
          <w:rFonts w:ascii="Times New Roman" w:hAnsi="Times New Roman" w:cs="Times New Roman"/>
          <w:color w:val="000000"/>
        </w:rPr>
        <w:t>51.5 in 2015</w:t>
      </w:r>
      <w:r w:rsidRPr="00393337">
        <w:rPr>
          <w:rStyle w:val="apple-converted-space"/>
          <w:rFonts w:ascii="Times New Roman" w:hAnsi="Times New Roman" w:cs="Times New Roman"/>
          <w:color w:val="000000"/>
        </w:rPr>
        <w:t> </w:t>
      </w:r>
      <w:r w:rsidRPr="00393337">
        <w:rPr>
          <w:rFonts w:ascii="Times New Roman" w:hAnsi="Times New Roman" w:cs="Times New Roman"/>
          <w:color w:val="000000"/>
        </w:rPr>
        <w:t>to about</w:t>
      </w:r>
      <w:r w:rsidRPr="00393337">
        <w:rPr>
          <w:rStyle w:val="apple-converted-space"/>
          <w:rFonts w:ascii="Times New Roman" w:hAnsi="Times New Roman" w:cs="Times New Roman"/>
          <w:color w:val="000000"/>
        </w:rPr>
        <w:t> </w:t>
      </w:r>
      <w:r w:rsidRPr="00393337">
        <w:rPr>
          <w:rStyle w:val="Strong"/>
          <w:rFonts w:ascii="Times New Roman" w:hAnsi="Times New Roman" w:cs="Times New Roman"/>
          <w:color w:val="000000"/>
        </w:rPr>
        <w:t>58.2 in 2025</w:t>
      </w:r>
      <w:r w:rsidRPr="00393337">
        <w:rPr>
          <w:rFonts w:ascii="Times New Roman" w:hAnsi="Times New Roman" w:cs="Times New Roman"/>
          <w:color w:val="000000"/>
        </w:rPr>
        <w:t xml:space="preserve">. Although there are minor fluctuations in a few years—particularly a slight dip around 2020—the overall pattern is consistently positive. This suggests that companies have, on average, made steady improvements in their environmental, social, and governance practices over the </w:t>
      </w:r>
      <w:r w:rsidRPr="00393337">
        <w:rPr>
          <w:rFonts w:ascii="Times New Roman" w:hAnsi="Times New Roman" w:cs="Times New Roman"/>
          <w:color w:val="000000"/>
        </w:rPr>
        <w:lastRenderedPageBreak/>
        <w:t>past decade. The rise may reflect growing global pressure on corporate sustainability and increased ESG reporting standards.</w:t>
      </w:r>
    </w:p>
    <w:p w14:paraId="50EE61B6" w14:textId="182577F4" w:rsidR="00393337" w:rsidRDefault="00393337" w:rsidP="004A6F95">
      <w:pPr>
        <w:spacing w:before="100" w:beforeAutospacing="1" w:after="100" w:afterAutospacing="1" w:line="240" w:lineRule="auto"/>
        <w:rPr>
          <w:rStyle w:val="apple-converted-space"/>
          <w:rFonts w:ascii="Times New Roman" w:hAnsi="Times New Roman" w:cs="Times New Roman"/>
          <w:color w:val="000000"/>
        </w:rPr>
      </w:pPr>
      <w:r>
        <w:rPr>
          <w:rFonts w:ascii="Times New Roman" w:eastAsia="Times New Roman" w:hAnsi="Times New Roman" w:cs="Times New Roman"/>
          <w:noProof/>
          <w:color w:val="000000"/>
          <w:kern w:val="0"/>
        </w:rPr>
        <w:drawing>
          <wp:inline distT="0" distB="0" distL="0" distR="0" wp14:anchorId="70779033" wp14:editId="35E3D616">
            <wp:extent cx="3235569" cy="2196358"/>
            <wp:effectExtent l="0" t="0" r="3175" b="1270"/>
            <wp:docPr id="973028568" name="Picture 7" descr="A graph with orange lines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28568" name="Picture 7" descr="A graph with orange lines and black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8495" cy="2211921"/>
                    </a:xfrm>
                    <a:prstGeom prst="rect">
                      <a:avLst/>
                    </a:prstGeom>
                  </pic:spPr>
                </pic:pic>
              </a:graphicData>
            </a:graphic>
          </wp:inline>
        </w:drawing>
      </w:r>
    </w:p>
    <w:p w14:paraId="30CFAF72" w14:textId="56579595" w:rsidR="00393337" w:rsidRDefault="00393337" w:rsidP="004A6F95">
      <w:pPr>
        <w:spacing w:before="100" w:beforeAutospacing="1" w:after="100" w:afterAutospacing="1" w:line="240" w:lineRule="auto"/>
        <w:rPr>
          <w:rStyle w:val="apple-converted-space"/>
          <w:rFonts w:ascii="Times New Roman" w:hAnsi="Times New Roman" w:cs="Times New Roman"/>
          <w:color w:val="000000"/>
        </w:rPr>
      </w:pPr>
      <w:r w:rsidRPr="00393337">
        <w:rPr>
          <w:rStyle w:val="apple-converted-space"/>
          <w:rFonts w:ascii="Times New Roman" w:hAnsi="Times New Roman" w:cs="Times New Roman"/>
          <w:color w:val="000000"/>
        </w:rPr>
        <w:t>Is there a relationship between profitability and ESG performance?</w:t>
      </w:r>
      <w:r>
        <w:rPr>
          <w:rStyle w:val="apple-converted-space"/>
          <w:rFonts w:ascii="Times New Roman" w:hAnsi="Times New Roman" w:cs="Times New Roman"/>
          <w:color w:val="000000"/>
        </w:rPr>
        <w:t xml:space="preserve"> &amp; </w:t>
      </w:r>
      <w:r w:rsidRPr="00393337">
        <w:rPr>
          <w:rStyle w:val="apple-converted-space"/>
          <w:rFonts w:ascii="Times New Roman" w:hAnsi="Times New Roman" w:cs="Times New Roman"/>
          <w:color w:val="000000"/>
        </w:rPr>
        <w:t>Do companies with higher revenue or market capitalization tend to have better ESG scores?</w:t>
      </w:r>
    </w:p>
    <w:p w14:paraId="54B5A106" w14:textId="0BB35627" w:rsidR="008625B4" w:rsidRPr="008625B4" w:rsidRDefault="008625B4" w:rsidP="004A6F95">
      <w:pPr>
        <w:spacing w:before="100" w:beforeAutospacing="1" w:after="100" w:afterAutospacing="1" w:line="240" w:lineRule="auto"/>
        <w:rPr>
          <w:rStyle w:val="apple-converted-space"/>
          <w:rFonts w:ascii="Times New Roman" w:hAnsi="Times New Roman" w:cs="Times New Roman"/>
          <w:color w:val="000000"/>
        </w:rPr>
      </w:pPr>
      <w:r w:rsidRPr="008625B4">
        <w:rPr>
          <w:rFonts w:ascii="Times New Roman" w:hAnsi="Times New Roman" w:cs="Times New Roman"/>
          <w:color w:val="000000"/>
        </w:rPr>
        <w:t>To explore how financial performance relates to ESG scores, we plotted</w:t>
      </w:r>
      <w:r w:rsidRPr="008625B4">
        <w:rPr>
          <w:rStyle w:val="apple-converted-space"/>
          <w:rFonts w:ascii="Times New Roman" w:hAnsi="Times New Roman" w:cs="Times New Roman"/>
          <w:color w:val="000000"/>
        </w:rPr>
        <w:t> </w:t>
      </w:r>
      <w:r w:rsidRPr="008625B4">
        <w:rPr>
          <w:rStyle w:val="HTMLCode"/>
          <w:rFonts w:ascii="Times New Roman" w:eastAsiaTheme="majorEastAsia" w:hAnsi="Times New Roman" w:cs="Times New Roman"/>
          <w:color w:val="000000"/>
          <w:sz w:val="24"/>
          <w:szCs w:val="24"/>
        </w:rPr>
        <w:t>ESG_Overall</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against two key variables:</w:t>
      </w:r>
      <w:r w:rsidRPr="008625B4">
        <w:rPr>
          <w:rStyle w:val="apple-converted-space"/>
          <w:rFonts w:ascii="Times New Roman" w:hAnsi="Times New Roman" w:cs="Times New Roman"/>
          <w:color w:val="000000"/>
        </w:rPr>
        <w:t> </w:t>
      </w:r>
      <w:r w:rsidRPr="008625B4">
        <w:rPr>
          <w:rStyle w:val="HTMLCode"/>
          <w:rFonts w:ascii="Times New Roman" w:eastAsiaTheme="majorEastAsia" w:hAnsi="Times New Roman" w:cs="Times New Roman"/>
          <w:color w:val="000000"/>
          <w:sz w:val="24"/>
          <w:szCs w:val="24"/>
        </w:rPr>
        <w:t>log_Revenue</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and</w:t>
      </w:r>
      <w:r w:rsidRPr="008625B4">
        <w:rPr>
          <w:rStyle w:val="apple-converted-space"/>
          <w:rFonts w:ascii="Times New Roman" w:hAnsi="Times New Roman" w:cs="Times New Roman"/>
          <w:color w:val="000000"/>
        </w:rPr>
        <w:t> </w:t>
      </w:r>
      <w:r w:rsidRPr="008625B4">
        <w:rPr>
          <w:rStyle w:val="HTMLCode"/>
          <w:rFonts w:ascii="Times New Roman" w:eastAsiaTheme="majorEastAsia" w:hAnsi="Times New Roman" w:cs="Times New Roman"/>
          <w:color w:val="000000"/>
          <w:sz w:val="24"/>
          <w:szCs w:val="24"/>
        </w:rPr>
        <w:t>ProfitMargin</w:t>
      </w:r>
      <w:r w:rsidRPr="008625B4">
        <w:rPr>
          <w:rFonts w:ascii="Times New Roman" w:hAnsi="Times New Roman" w:cs="Times New Roman"/>
          <w:color w:val="000000"/>
        </w:rPr>
        <w:t>. Both scatterplots show a large spread of points with a slight upward trend, as captured by the fitted regression lines. This indicates that companies with higher revenue and better profit margins tend to have slightly higher ESG scores. However, the relationship is weak and not tightly clustered around the trend line, suggesting that financial performance alone does not strongly predict ESG behavior. These visual insights are consistent with the earlier correlation analysis and regression results, where the coefficients were significant but small in magnitude.</w:t>
      </w:r>
    </w:p>
    <w:p w14:paraId="63705A44" w14:textId="764054ED" w:rsidR="00393337" w:rsidRDefault="00393337" w:rsidP="00393337">
      <w:pPr>
        <w:spacing w:before="100" w:beforeAutospacing="1" w:after="100" w:afterAutospacing="1" w:line="240" w:lineRule="auto"/>
        <w:rPr>
          <w:rStyle w:val="apple-converted-space"/>
          <w:rFonts w:ascii="Times New Roman" w:hAnsi="Times New Roman" w:cs="Times New Roman"/>
          <w:color w:val="000000"/>
        </w:rPr>
      </w:pPr>
      <w:r>
        <w:rPr>
          <w:rFonts w:ascii="Times New Roman" w:eastAsia="Times New Roman" w:hAnsi="Times New Roman" w:cs="Times New Roman"/>
          <w:noProof/>
          <w:color w:val="000000"/>
          <w:kern w:val="0"/>
        </w:rPr>
        <w:drawing>
          <wp:inline distT="0" distB="0" distL="0" distR="0" wp14:anchorId="1D070DFF" wp14:editId="32B0B9E4">
            <wp:extent cx="2425422" cy="1515821"/>
            <wp:effectExtent l="0" t="0" r="635" b="0"/>
            <wp:docPr id="111034739" name="Picture 8" descr="A green line in the middl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739" name="Picture 8" descr="A green line in the middle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0134" cy="1562514"/>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40D839E4" wp14:editId="4231C668">
            <wp:extent cx="2358830" cy="1474203"/>
            <wp:effectExtent l="0" t="0" r="3810" b="0"/>
            <wp:docPr id="676372967" name="Picture 9" descr="A blue line in the middl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2967" name="Picture 9" descr="A blue line in the middle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107" cy="1523124"/>
                    </a:xfrm>
                    <a:prstGeom prst="rect">
                      <a:avLst/>
                    </a:prstGeom>
                  </pic:spPr>
                </pic:pic>
              </a:graphicData>
            </a:graphic>
          </wp:inline>
        </w:drawing>
      </w:r>
    </w:p>
    <w:p w14:paraId="51D34A94" w14:textId="77777777" w:rsidR="00393337" w:rsidRDefault="00393337" w:rsidP="004A6F95">
      <w:pPr>
        <w:spacing w:before="100" w:beforeAutospacing="1" w:after="100" w:afterAutospacing="1" w:line="240" w:lineRule="auto"/>
        <w:rPr>
          <w:rStyle w:val="apple-converted-space"/>
          <w:rFonts w:ascii="Times New Roman" w:hAnsi="Times New Roman" w:cs="Times New Roman"/>
          <w:color w:val="000000"/>
        </w:rPr>
      </w:pPr>
    </w:p>
    <w:p w14:paraId="7C23EF4E" w14:textId="3AC9BDB2" w:rsidR="00393337" w:rsidRDefault="008625B4" w:rsidP="004A6F95">
      <w:pPr>
        <w:spacing w:before="100" w:beforeAutospacing="1" w:after="100" w:afterAutospacing="1" w:line="240" w:lineRule="auto"/>
        <w:rPr>
          <w:rStyle w:val="apple-converted-space"/>
          <w:rFonts w:ascii="Times New Roman" w:hAnsi="Times New Roman" w:cs="Times New Roman"/>
          <w:color w:val="000000"/>
        </w:rPr>
      </w:pPr>
      <w:r w:rsidRPr="008625B4">
        <w:rPr>
          <w:rStyle w:val="apple-converted-space"/>
          <w:rFonts w:ascii="Times New Roman" w:hAnsi="Times New Roman" w:cs="Times New Roman"/>
          <w:color w:val="000000"/>
        </w:rPr>
        <w:t>Are there significant differences in ESG_Overall scores across different industries?</w:t>
      </w:r>
    </w:p>
    <w:p w14:paraId="3B110894" w14:textId="0764EE2C" w:rsidR="008625B4" w:rsidRPr="008625B4" w:rsidRDefault="008625B4" w:rsidP="004A6F95">
      <w:pPr>
        <w:spacing w:before="100" w:beforeAutospacing="1" w:after="100" w:afterAutospacing="1" w:line="240" w:lineRule="auto"/>
        <w:rPr>
          <w:rStyle w:val="apple-converted-space"/>
          <w:rFonts w:ascii="Times New Roman" w:hAnsi="Times New Roman" w:cs="Times New Roman"/>
          <w:color w:val="000000"/>
        </w:rPr>
      </w:pPr>
      <w:r w:rsidRPr="008625B4">
        <w:rPr>
          <w:rFonts w:ascii="Times New Roman" w:hAnsi="Times New Roman" w:cs="Times New Roman"/>
          <w:color w:val="000000"/>
        </w:rPr>
        <w:t>The boxplot shows the distribution of ESG_Overall scores across different industries. While most industries have median ESG scores clustered between 50 and 70, there are clear differences in central tendency and spread. For example, the</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Energy</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and</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Finance</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sectors show relatively high medians and tighter interquartile ranges, suggesting more consistent ESG performance. In contrast,</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Transportation</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displays a wider spread with a lower median, indicating more variability and generally lower ESG scores within the sector. Outliers are present in nearly all industries, reflecting exceptional performers or underperformers.</w:t>
      </w:r>
      <w:r w:rsidRPr="008625B4">
        <w:rPr>
          <w:rStyle w:val="apple-converted-space"/>
          <w:rFonts w:ascii="Times New Roman" w:hAnsi="Times New Roman" w:cs="Times New Roman"/>
          <w:color w:val="000000"/>
        </w:rPr>
        <w:t> </w:t>
      </w:r>
    </w:p>
    <w:p w14:paraId="39BA15AB" w14:textId="6F22E256" w:rsidR="008625B4" w:rsidRDefault="008625B4" w:rsidP="004A6F95">
      <w:pPr>
        <w:spacing w:before="100" w:beforeAutospacing="1" w:after="100" w:afterAutospacing="1" w:line="240" w:lineRule="auto"/>
        <w:rPr>
          <w:rStyle w:val="apple-converted-space"/>
          <w:rFonts w:ascii="Times New Roman" w:hAnsi="Times New Roman" w:cs="Times New Roman"/>
          <w:color w:val="000000"/>
        </w:rPr>
      </w:pPr>
      <w:r>
        <w:rPr>
          <w:rFonts w:ascii="Times New Roman" w:eastAsia="Times New Roman" w:hAnsi="Times New Roman" w:cs="Times New Roman"/>
          <w:noProof/>
          <w:color w:val="000000"/>
          <w:kern w:val="0"/>
        </w:rPr>
        <w:lastRenderedPageBreak/>
        <w:drawing>
          <wp:inline distT="0" distB="0" distL="0" distR="0" wp14:anchorId="2851E3E5" wp14:editId="68A09C2F">
            <wp:extent cx="3293119" cy="2235424"/>
            <wp:effectExtent l="0" t="0" r="0" b="0"/>
            <wp:docPr id="160557512" name="Picture 10" descr="A graph showing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7512" name="Picture 10" descr="A graph showing a number of blue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7993" cy="2252309"/>
                    </a:xfrm>
                    <a:prstGeom prst="rect">
                      <a:avLst/>
                    </a:prstGeom>
                  </pic:spPr>
                </pic:pic>
              </a:graphicData>
            </a:graphic>
          </wp:inline>
        </w:drawing>
      </w:r>
    </w:p>
    <w:p w14:paraId="5E258DF8" w14:textId="77777777" w:rsidR="00393337" w:rsidRPr="00393337" w:rsidRDefault="00393337" w:rsidP="004A6F95">
      <w:pPr>
        <w:spacing w:before="100" w:beforeAutospacing="1" w:after="100" w:afterAutospacing="1" w:line="240" w:lineRule="auto"/>
        <w:rPr>
          <w:rFonts w:ascii="Times New Roman" w:eastAsia="Times New Roman" w:hAnsi="Times New Roman" w:cs="Times New Roman"/>
          <w:color w:val="000000"/>
          <w:kern w:val="0"/>
          <w14:ligatures w14:val="none"/>
        </w:rPr>
      </w:pPr>
    </w:p>
    <w:p w14:paraId="3E176DE6" w14:textId="77777777" w:rsidR="00356D9F" w:rsidRPr="007C09B9" w:rsidRDefault="00356D9F" w:rsidP="004A6F95">
      <w:pPr>
        <w:spacing w:before="100" w:beforeAutospacing="1" w:after="100" w:afterAutospacing="1" w:line="240" w:lineRule="auto"/>
        <w:rPr>
          <w:rFonts w:ascii="Times New Roman" w:eastAsia="Times New Roman" w:hAnsi="Times New Roman" w:cs="Times New Roman"/>
          <w:color w:val="000000"/>
          <w:kern w:val="0"/>
          <w14:ligatures w14:val="none"/>
        </w:rPr>
      </w:pPr>
    </w:p>
    <w:p w14:paraId="68B00246" w14:textId="77777777" w:rsid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C09B9">
        <w:rPr>
          <w:rFonts w:ascii="Times New Roman" w:eastAsia="Times New Roman" w:hAnsi="Times New Roman" w:cs="Times New Roman"/>
          <w:b/>
          <w:bCs/>
          <w:color w:val="000000"/>
          <w:kern w:val="0"/>
          <w:sz w:val="27"/>
          <w:szCs w:val="27"/>
          <w14:ligatures w14:val="none"/>
        </w:rPr>
        <w:t>4. Exploration of Missing Data Mechanism</w:t>
      </w:r>
    </w:p>
    <w:p w14:paraId="6FC7911E" w14:textId="48344208" w:rsidR="00C80D31" w:rsidRPr="007C09B9" w:rsidRDefault="00C80D31" w:rsidP="007C09B9">
      <w:pPr>
        <w:spacing w:before="100" w:beforeAutospacing="1" w:after="100" w:afterAutospacing="1" w:line="240" w:lineRule="auto"/>
        <w:outlineLvl w:val="2"/>
        <w:rPr>
          <w:rFonts w:ascii="Times New Roman" w:eastAsia="Times New Roman" w:hAnsi="Times New Roman" w:cs="Times New Roman"/>
          <w:b/>
          <w:bCs/>
          <w:color w:val="000000"/>
          <w:kern w:val="0"/>
          <w14:ligatures w14:val="none"/>
        </w:rPr>
      </w:pPr>
      <w:r w:rsidRPr="00C80D31">
        <w:rPr>
          <w:rFonts w:ascii="Times New Roman" w:hAnsi="Times New Roman" w:cs="Times New Roman"/>
          <w:color w:val="000000"/>
        </w:rPr>
        <w:t>To explore whether missing values in</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ESG_Overall</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occur randomly, we plotted the distribution of financial variables (</w:t>
      </w:r>
      <w:r w:rsidRPr="00C80D31">
        <w:rPr>
          <w:rStyle w:val="HTMLCode"/>
          <w:rFonts w:ascii="Times New Roman" w:eastAsiaTheme="majorEastAsia" w:hAnsi="Times New Roman" w:cs="Times New Roman"/>
          <w:color w:val="000000"/>
          <w:sz w:val="24"/>
          <w:szCs w:val="24"/>
        </w:rPr>
        <w:t>ProfitMargin</w:t>
      </w:r>
      <w:r w:rsidRPr="00C80D31">
        <w:rPr>
          <w:rFonts w:ascii="Times New Roman" w:hAnsi="Times New Roman" w:cs="Times New Roman"/>
          <w:color w:val="000000"/>
        </w:rPr>
        <w:t>,</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GrowthRate</w:t>
      </w:r>
      <w:r w:rsidRPr="00C80D31">
        <w:rPr>
          <w:rFonts w:ascii="Times New Roman" w:hAnsi="Times New Roman" w:cs="Times New Roman"/>
          <w:color w:val="000000"/>
        </w:rPr>
        <w:t>,</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MarketCap</w:t>
      </w:r>
      <w:r w:rsidRPr="00C80D31">
        <w:rPr>
          <w:rFonts w:ascii="Times New Roman" w:hAnsi="Times New Roman" w:cs="Times New Roman"/>
          <w:color w:val="000000"/>
        </w:rPr>
        <w:t>, and</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Revenue</w:t>
      </w:r>
      <w:r w:rsidRPr="00C80D31">
        <w:rPr>
          <w:rFonts w:ascii="Times New Roman" w:hAnsi="Times New Roman" w:cs="Times New Roman"/>
          <w:color w:val="000000"/>
        </w:rPr>
        <w:t>) split by missingness of</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ESG_Overall</w:t>
      </w:r>
      <w:r w:rsidRPr="00C80D31">
        <w:rPr>
          <w:rFonts w:ascii="Times New Roman" w:hAnsi="Times New Roman" w:cs="Times New Roman"/>
          <w:color w:val="000000"/>
        </w:rPr>
        <w:t>. In each density plot, the distribution for records with missing ESG scores (in blue) closely overlaps with the distribution for non-missing records (in red). This suggests that the probability of</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ESG_Overall</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being missing does not depend on the values of these variables. Since the shapes, centers, and spreads of the distributions are nearly identical, this provides</w:t>
      </w:r>
      <w:r w:rsidRPr="00C80D31">
        <w:rPr>
          <w:rStyle w:val="apple-converted-space"/>
          <w:rFonts w:ascii="Times New Roman" w:hAnsi="Times New Roman" w:cs="Times New Roman"/>
          <w:color w:val="000000"/>
        </w:rPr>
        <w:t> </w:t>
      </w:r>
      <w:r w:rsidRPr="00C80D31">
        <w:rPr>
          <w:rStyle w:val="Strong"/>
          <w:rFonts w:ascii="Times New Roman" w:hAnsi="Times New Roman" w:cs="Times New Roman"/>
          <w:color w:val="000000"/>
        </w:rPr>
        <w:t>visual evidence in support of the MCAR (Missing Completely At Random)</w:t>
      </w:r>
      <w:r w:rsidRPr="00C80D31">
        <w:rPr>
          <w:rStyle w:val="apple-converted-space"/>
          <w:rFonts w:ascii="Times New Roman" w:hAnsi="Times New Roman" w:cs="Times New Roman"/>
          <w:color w:val="000000"/>
        </w:rPr>
        <w:t> </w:t>
      </w:r>
      <w:r w:rsidRPr="00C80D31">
        <w:rPr>
          <w:rFonts w:ascii="Times New Roman" w:hAnsi="Times New Roman" w:cs="Times New Roman"/>
          <w:color w:val="000000"/>
        </w:rPr>
        <w:t>assumption for</w:t>
      </w:r>
      <w:r w:rsidRPr="00C80D31">
        <w:rPr>
          <w:rStyle w:val="apple-converted-space"/>
          <w:rFonts w:ascii="Times New Roman" w:hAnsi="Times New Roman" w:cs="Times New Roman"/>
          <w:color w:val="000000"/>
        </w:rPr>
        <w:t> </w:t>
      </w:r>
      <w:r w:rsidRPr="00C80D31">
        <w:rPr>
          <w:rStyle w:val="HTMLCode"/>
          <w:rFonts w:ascii="Times New Roman" w:eastAsiaTheme="majorEastAsia" w:hAnsi="Times New Roman" w:cs="Times New Roman"/>
          <w:color w:val="000000"/>
          <w:sz w:val="24"/>
          <w:szCs w:val="24"/>
        </w:rPr>
        <w:t>ESG_Overall</w:t>
      </w:r>
      <w:r w:rsidRPr="00C80D31">
        <w:rPr>
          <w:rFonts w:ascii="Times New Roman" w:hAnsi="Times New Roman" w:cs="Times New Roman"/>
          <w:color w:val="000000"/>
        </w:rPr>
        <w:t>. These findings support the use of unbiased imputation methods such as multiple imputation without requiring further adjustment for non-random missingness.</w:t>
      </w:r>
    </w:p>
    <w:p w14:paraId="09EF7136" w14:textId="0FD6FB80" w:rsidR="004A6F95" w:rsidRDefault="00B3478E"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42C3F3A5" wp14:editId="1DE0E979">
            <wp:extent cx="2513333" cy="1570764"/>
            <wp:effectExtent l="0" t="0" r="1270" b="4445"/>
            <wp:docPr id="2112822877" name="Picture 1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2877" name="Picture 14" descr="A graph with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880" cy="1623604"/>
                    </a:xfrm>
                    <a:prstGeom prst="rect">
                      <a:avLst/>
                    </a:prstGeom>
                  </pic:spPr>
                </pic:pic>
              </a:graphicData>
            </a:graphic>
          </wp:inline>
        </w:drawing>
      </w:r>
      <w:r>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noProof/>
          <w:color w:val="000000"/>
          <w:kern w:val="0"/>
        </w:rPr>
        <w:drawing>
          <wp:inline distT="0" distB="0" distL="0" distR="0" wp14:anchorId="6ECD24FE" wp14:editId="67074B4E">
            <wp:extent cx="2321003" cy="1575535"/>
            <wp:effectExtent l="0" t="0" r="3175" b="0"/>
            <wp:docPr id="602925434" name="Picture 15"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5434" name="Picture 15" descr="A graph of a normal distributio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4022" cy="1604737"/>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7962DB5A" wp14:editId="65B189FB">
            <wp:extent cx="2303780" cy="1439799"/>
            <wp:effectExtent l="0" t="0" r="0" b="0"/>
            <wp:docPr id="1539995980" name="Picture 16"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5980" name="Picture 16" descr="A graph with numbers and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8522" cy="149901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457B10C0" wp14:editId="726D49B5">
            <wp:extent cx="2303780" cy="1439799"/>
            <wp:effectExtent l="0" t="0" r="0" b="0"/>
            <wp:docPr id="642786114" name="Picture 1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114" name="Picture 17" descr="A graph with lines and numbe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3775" cy="1458545"/>
                    </a:xfrm>
                    <a:prstGeom prst="rect">
                      <a:avLst/>
                    </a:prstGeom>
                  </pic:spPr>
                </pic:pic>
              </a:graphicData>
            </a:graphic>
          </wp:inline>
        </w:drawing>
      </w:r>
    </w:p>
    <w:p w14:paraId="37F32598" w14:textId="76326282" w:rsidR="00393337" w:rsidRDefault="00393337" w:rsidP="004A6F95">
      <w:pPr>
        <w:spacing w:before="100" w:beforeAutospacing="1" w:after="100" w:afterAutospacing="1" w:line="240" w:lineRule="auto"/>
        <w:ind w:left="720"/>
        <w:rPr>
          <w:rFonts w:ascii="Times New Roman" w:hAnsi="Times New Roman" w:cs="Times New Roman"/>
          <w:color w:val="000000"/>
        </w:rPr>
      </w:pPr>
      <w:r w:rsidRPr="00393337">
        <w:rPr>
          <w:rFonts w:ascii="Times New Roman" w:hAnsi="Times New Roman" w:cs="Times New Roman"/>
          <w:color w:val="000000"/>
        </w:rPr>
        <w:lastRenderedPageBreak/>
        <w:t>Since earlier visual tests suggested that missingness was likely Missing Completely At Random (MCAR</w:t>
      </w:r>
      <w:r w:rsidRPr="00393337">
        <w:rPr>
          <w:rFonts w:ascii="Times New Roman" w:hAnsi="Times New Roman" w:cs="Times New Roman"/>
          <w:color w:val="000000"/>
        </w:rPr>
        <w:t xml:space="preserve">), </w:t>
      </w:r>
      <w:r w:rsidRPr="00393337">
        <w:rPr>
          <w:rFonts w:ascii="Times New Roman" w:hAnsi="Times New Roman" w:cs="Times New Roman"/>
          <w:color w:val="000000"/>
        </w:rPr>
        <w:t>we chose the</w:t>
      </w:r>
      <w:r w:rsidRPr="00393337">
        <w:rPr>
          <w:rStyle w:val="apple-converted-space"/>
          <w:rFonts w:ascii="Times New Roman" w:hAnsi="Times New Roman" w:cs="Times New Roman"/>
          <w:color w:val="000000"/>
        </w:rPr>
        <w:t> </w:t>
      </w:r>
      <w:r w:rsidRPr="00393337">
        <w:rPr>
          <w:rStyle w:val="HTMLCode"/>
          <w:rFonts w:ascii="Times New Roman" w:eastAsiaTheme="majorEastAsia" w:hAnsi="Times New Roman" w:cs="Times New Roman"/>
          <w:color w:val="000000"/>
          <w:sz w:val="24"/>
          <w:szCs w:val="24"/>
        </w:rPr>
        <w:t>mice</w:t>
      </w:r>
      <w:r w:rsidRPr="00393337">
        <w:rPr>
          <w:rStyle w:val="apple-converted-space"/>
          <w:rFonts w:ascii="Times New Roman" w:hAnsi="Times New Roman" w:cs="Times New Roman"/>
          <w:color w:val="000000"/>
        </w:rPr>
        <w:t> </w:t>
      </w:r>
      <w:r w:rsidRPr="00393337">
        <w:rPr>
          <w:rFonts w:ascii="Times New Roman" w:hAnsi="Times New Roman" w:cs="Times New Roman"/>
          <w:color w:val="000000"/>
        </w:rPr>
        <w:t>(Multiple Imputation by Chained Equations) method. This technique allowed us to impute missing values based on predictive models that respect the multivariate structure of the data, ensuring a statistically sound foundation for later analysis.To evaluate the quality of the imputed values for missing ESG-related data, we examined both strip plots and density plots after multiple imputation. The strip plots show that the imputed values (in red) are evenly spread across the full range of each variable and blend well with the observed values (in blue), indicating that the imputation process preserved the natural distribution and variability. The density plot comparing the distribution of imputed</w:t>
      </w:r>
      <w:r w:rsidRPr="00393337">
        <w:rPr>
          <w:rStyle w:val="apple-converted-space"/>
          <w:rFonts w:ascii="Times New Roman" w:hAnsi="Times New Roman" w:cs="Times New Roman"/>
          <w:color w:val="000000"/>
        </w:rPr>
        <w:t> </w:t>
      </w:r>
      <w:r w:rsidRPr="00393337">
        <w:rPr>
          <w:rStyle w:val="HTMLCode"/>
          <w:rFonts w:ascii="Times New Roman" w:eastAsiaTheme="majorEastAsia" w:hAnsi="Times New Roman" w:cs="Times New Roman"/>
          <w:color w:val="000000"/>
          <w:sz w:val="24"/>
          <w:szCs w:val="24"/>
        </w:rPr>
        <w:t>ESG_Overall</w:t>
      </w:r>
      <w:r w:rsidRPr="00393337">
        <w:rPr>
          <w:rStyle w:val="apple-converted-space"/>
          <w:rFonts w:ascii="Times New Roman" w:hAnsi="Times New Roman" w:cs="Times New Roman"/>
          <w:color w:val="000000"/>
        </w:rPr>
        <w:t> </w:t>
      </w:r>
      <w:r w:rsidRPr="00393337">
        <w:rPr>
          <w:rFonts w:ascii="Times New Roman" w:hAnsi="Times New Roman" w:cs="Times New Roman"/>
          <w:color w:val="000000"/>
        </w:rPr>
        <w:t>values with the original missing cases shows a smooth, bell-shaped curve, confirming that the imputed values align with the expected range and pattern. Together, these visual checks suggest that the imputation process was successful, and the generated values are plausible, unbiased, and appropriate for downstream modeling.</w:t>
      </w:r>
    </w:p>
    <w:p w14:paraId="05BE591C" w14:textId="7DE43C88" w:rsidR="00B3478E" w:rsidRPr="007C09B9" w:rsidRDefault="00775B3A"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sidRPr="00393337">
        <w:rPr>
          <w:rFonts w:ascii="Times New Roman" w:eastAsia="Times New Roman" w:hAnsi="Times New Roman" w:cs="Times New Roman"/>
          <w:noProof/>
          <w:color w:val="000000"/>
          <w:kern w:val="0"/>
        </w:rPr>
        <w:drawing>
          <wp:inline distT="0" distB="0" distL="0" distR="0" wp14:anchorId="7C4BCB06" wp14:editId="3CC71273">
            <wp:extent cx="2250291" cy="1406369"/>
            <wp:effectExtent l="0" t="0" r="0" b="3810"/>
            <wp:docPr id="9284270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2708" name="Picture 18" descr="A screenshot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788" cy="1499176"/>
                    </a:xfrm>
                    <a:prstGeom prst="rect">
                      <a:avLst/>
                    </a:prstGeom>
                  </pic:spPr>
                </pic:pic>
              </a:graphicData>
            </a:graphic>
          </wp:inline>
        </w:drawing>
      </w:r>
      <w:r w:rsidRPr="00393337">
        <w:rPr>
          <w:rFonts w:ascii="Times New Roman" w:eastAsia="Times New Roman" w:hAnsi="Times New Roman" w:cs="Times New Roman"/>
          <w:noProof/>
          <w:color w:val="000000"/>
          <w:kern w:val="0"/>
        </w:rPr>
        <w:drawing>
          <wp:inline distT="0" distB="0" distL="0" distR="0" wp14:anchorId="27138BC8" wp14:editId="1487E774">
            <wp:extent cx="2152251" cy="1345096"/>
            <wp:effectExtent l="0" t="0" r="0" b="1270"/>
            <wp:docPr id="1084837037" name="Picture 19"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037" name="Picture 19" descr="A graph with a line drawn on i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2436" cy="1388959"/>
                    </a:xfrm>
                    <a:prstGeom prst="rect">
                      <a:avLst/>
                    </a:prstGeom>
                  </pic:spPr>
                </pic:pic>
              </a:graphicData>
            </a:graphic>
          </wp:inline>
        </w:drawing>
      </w:r>
    </w:p>
    <w:p w14:paraId="7AE2CCAD" w14:textId="77777777" w:rsidR="004A6F95" w:rsidRPr="004A6F95" w:rsidRDefault="004A6F95" w:rsidP="004A6F9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A6F95">
        <w:rPr>
          <w:rFonts w:ascii="Times New Roman" w:eastAsia="Times New Roman" w:hAnsi="Times New Roman" w:cs="Times New Roman"/>
          <w:b/>
          <w:bCs/>
          <w:color w:val="000000"/>
          <w:kern w:val="0"/>
          <w:sz w:val="27"/>
          <w:szCs w:val="27"/>
          <w14:ligatures w14:val="none"/>
        </w:rPr>
        <w:t>5. Feature Engineering</w:t>
      </w:r>
    </w:p>
    <w:p w14:paraId="69D2EFCC" w14:textId="77777777" w:rsidR="004A6F95" w:rsidRPr="004A6F95" w:rsidRDefault="004A6F95" w:rsidP="004A6F95">
      <w:pPr>
        <w:spacing w:before="100" w:beforeAutospacing="1" w:after="100" w:afterAutospacing="1" w:line="240" w:lineRule="auto"/>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color w:val="000000"/>
          <w:kern w:val="0"/>
          <w14:ligatures w14:val="none"/>
        </w:rPr>
        <w:t>The following derived variables were created:</w:t>
      </w:r>
    </w:p>
    <w:p w14:paraId="5C4654FA" w14:textId="77777777" w:rsidR="004A6F95" w:rsidRPr="004A6F95" w:rsidRDefault="004A6F95" w:rsidP="004A6F95">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b/>
          <w:bCs/>
          <w:color w:val="000000"/>
          <w:kern w:val="0"/>
          <w14:ligatures w14:val="none"/>
        </w:rPr>
        <w:t>Profit</w:t>
      </w:r>
      <w:r w:rsidRPr="004A6F95">
        <w:rPr>
          <w:rFonts w:ascii="Times New Roman" w:eastAsia="Times New Roman" w:hAnsi="Times New Roman" w:cs="Times New Roman"/>
          <w:color w:val="000000"/>
          <w:kern w:val="0"/>
          <w14:ligatures w14:val="none"/>
        </w:rPr>
        <w:t>: Calculated using revenue and profit margin</w:t>
      </w:r>
    </w:p>
    <w:p w14:paraId="1136DBEE" w14:textId="77777777" w:rsidR="004A6F95" w:rsidRPr="004A6F95" w:rsidRDefault="004A6F95" w:rsidP="004A6F95">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b/>
          <w:bCs/>
          <w:color w:val="000000"/>
          <w:kern w:val="0"/>
          <w14:ligatures w14:val="none"/>
        </w:rPr>
        <w:t>ESG Spread</w:t>
      </w:r>
      <w:r w:rsidRPr="004A6F95">
        <w:rPr>
          <w:rFonts w:ascii="Times New Roman" w:eastAsia="Times New Roman" w:hAnsi="Times New Roman" w:cs="Times New Roman"/>
          <w:color w:val="000000"/>
          <w:kern w:val="0"/>
          <w14:ligatures w14:val="none"/>
        </w:rPr>
        <w:t>: Difference between governance and environmental scores</w:t>
      </w:r>
    </w:p>
    <w:p w14:paraId="009FFC87" w14:textId="77777777" w:rsidR="004A6F95" w:rsidRPr="004A6F95" w:rsidRDefault="004A6F95" w:rsidP="004A6F95">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b/>
          <w:bCs/>
          <w:color w:val="000000"/>
          <w:kern w:val="0"/>
          <w14:ligatures w14:val="none"/>
        </w:rPr>
        <w:t>Emissions per Revenue</w:t>
      </w:r>
      <w:r w:rsidRPr="004A6F95">
        <w:rPr>
          <w:rFonts w:ascii="Times New Roman" w:eastAsia="Times New Roman" w:hAnsi="Times New Roman" w:cs="Times New Roman"/>
          <w:color w:val="000000"/>
          <w:kern w:val="0"/>
          <w14:ligatures w14:val="none"/>
        </w:rPr>
        <w:t> and </w:t>
      </w:r>
      <w:r w:rsidRPr="004A6F95">
        <w:rPr>
          <w:rFonts w:ascii="Times New Roman" w:eastAsia="Times New Roman" w:hAnsi="Times New Roman" w:cs="Times New Roman"/>
          <w:b/>
          <w:bCs/>
          <w:color w:val="000000"/>
          <w:kern w:val="0"/>
          <w14:ligatures w14:val="none"/>
        </w:rPr>
        <w:t>Emissions per Profit</w:t>
      </w:r>
      <w:r w:rsidRPr="004A6F95">
        <w:rPr>
          <w:rFonts w:ascii="Times New Roman" w:eastAsia="Times New Roman" w:hAnsi="Times New Roman" w:cs="Times New Roman"/>
          <w:color w:val="000000"/>
          <w:kern w:val="0"/>
          <w14:ligatures w14:val="none"/>
        </w:rPr>
        <w:t>: Adjusted carbon emission metrics</w:t>
      </w:r>
    </w:p>
    <w:p w14:paraId="14A769F6" w14:textId="77777777" w:rsidR="004A6F95" w:rsidRDefault="004A6F95" w:rsidP="004A6F95">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4A6F95">
        <w:rPr>
          <w:rFonts w:ascii="Times New Roman" w:eastAsia="Times New Roman" w:hAnsi="Times New Roman" w:cs="Times New Roman"/>
          <w:b/>
          <w:bCs/>
          <w:color w:val="000000"/>
          <w:kern w:val="0"/>
          <w14:ligatures w14:val="none"/>
        </w:rPr>
        <w:t>ESG High</w:t>
      </w:r>
      <w:r w:rsidRPr="004A6F95">
        <w:rPr>
          <w:rFonts w:ascii="Times New Roman" w:eastAsia="Times New Roman" w:hAnsi="Times New Roman" w:cs="Times New Roman"/>
          <w:color w:val="000000"/>
          <w:kern w:val="0"/>
          <w14:ligatures w14:val="none"/>
        </w:rPr>
        <w:t>: Binary variable based on whether a company's ESG score is above the median</w:t>
      </w:r>
    </w:p>
    <w:p w14:paraId="68BECEB5" w14:textId="77777777" w:rsidR="00775B3A" w:rsidRPr="004A6F95" w:rsidRDefault="00775B3A" w:rsidP="00775B3A">
      <w:pPr>
        <w:spacing w:before="100" w:beforeAutospacing="1" w:after="100" w:afterAutospacing="1" w:line="240" w:lineRule="auto"/>
        <w:ind w:left="360"/>
        <w:rPr>
          <w:rFonts w:ascii="Times New Roman" w:eastAsia="Times New Roman" w:hAnsi="Times New Roman" w:cs="Times New Roman"/>
          <w:color w:val="000000"/>
          <w:kern w:val="0"/>
          <w14:ligatures w14:val="none"/>
        </w:rPr>
      </w:pPr>
    </w:p>
    <w:p w14:paraId="2E49CC3B" w14:textId="77777777" w:rsidR="007B7600" w:rsidRDefault="004A6F95" w:rsidP="007B7600">
      <w:pPr>
        <w:spacing w:before="100" w:beforeAutospacing="1" w:after="100" w:afterAutospacing="1" w:line="240" w:lineRule="auto"/>
        <w:outlineLvl w:val="2"/>
        <w:rPr>
          <w:rFonts w:ascii="Georgia" w:hAnsi="Georgia"/>
          <w:sz w:val="22"/>
          <w:szCs w:val="22"/>
          <w:lang w:val="en-US"/>
        </w:rPr>
      </w:pPr>
      <w:r w:rsidRPr="004A6F95">
        <w:rPr>
          <w:rFonts w:ascii="Times New Roman" w:eastAsia="Times New Roman" w:hAnsi="Times New Roman" w:cs="Times New Roman"/>
          <w:b/>
          <w:bCs/>
          <w:color w:val="000000"/>
          <w:kern w:val="0"/>
          <w:sz w:val="27"/>
          <w:szCs w:val="27"/>
          <w14:ligatures w14:val="none"/>
        </w:rPr>
        <w:t xml:space="preserve">6. </w:t>
      </w:r>
      <w:r w:rsidR="007B7600" w:rsidRPr="007B7600">
        <w:rPr>
          <w:rFonts w:ascii="Georgia" w:hAnsi="Georgia"/>
          <w:b/>
          <w:bCs/>
          <w:sz w:val="22"/>
          <w:szCs w:val="22"/>
          <w:lang w:val="en-US"/>
        </w:rPr>
        <w:t>Confirmatory Data Analysis</w:t>
      </w:r>
      <w:r w:rsidR="007B7600" w:rsidRPr="00865AD1">
        <w:rPr>
          <w:rFonts w:ascii="Georgia" w:hAnsi="Georgia"/>
          <w:sz w:val="22"/>
          <w:szCs w:val="22"/>
          <w:lang w:val="en-US"/>
        </w:rPr>
        <w:t xml:space="preserve"> </w:t>
      </w:r>
    </w:p>
    <w:p w14:paraId="6F60DA48" w14:textId="3CB86AF3" w:rsidR="004A6F95" w:rsidRPr="008625B4" w:rsidRDefault="008625B4" w:rsidP="008625B4">
      <w:pPr>
        <w:spacing w:before="100" w:beforeAutospacing="1" w:after="100" w:afterAutospacing="1" w:line="240" w:lineRule="auto"/>
        <w:rPr>
          <w:rFonts w:ascii="Times New Roman" w:eastAsia="Times New Roman" w:hAnsi="Times New Roman" w:cs="Times New Roman"/>
          <w:color w:val="000000"/>
          <w:kern w:val="0"/>
          <w14:ligatures w14:val="none"/>
        </w:rPr>
      </w:pPr>
      <w:r w:rsidRPr="008625B4">
        <w:rPr>
          <w:rFonts w:ascii="Times New Roman" w:hAnsi="Times New Roman" w:cs="Times New Roman"/>
          <w:color w:val="000000"/>
        </w:rPr>
        <w:t>The regression analysis confirms that ESG_Overall scores have significantly increased over the 2015–2025 period, with an average rise of about 0.67 points per year. This result is statistically highly significant, as shown by the very low p-value and large t-statistic. However, the model’s</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R² value of only 1.8%</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indicates that the year alone explains just a small fraction of the variability in ESG scores. In other words, while there is a clear trend of ESG improvement over time,</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most of the variation across companies is driven by other factors</w:t>
      </w:r>
      <w:r w:rsidRPr="008625B4">
        <w:rPr>
          <w:rFonts w:ascii="Times New Roman" w:hAnsi="Times New Roman" w:cs="Times New Roman"/>
          <w:color w:val="000000"/>
        </w:rPr>
        <w:t>. These likely include industry-specific norms, geographic regulatory environments, and firm-level financial or operational characteristics.</w:t>
      </w:r>
    </w:p>
    <w:p w14:paraId="421B2379" w14:textId="19F9C31F" w:rsidR="007B7600" w:rsidRDefault="007B7600"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1DBF4B17" wp14:editId="6856BC09">
            <wp:extent cx="3267541" cy="2098968"/>
            <wp:effectExtent l="0" t="0" r="0" b="0"/>
            <wp:docPr id="161965774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57744" name="Picture 20"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3" cy="2122904"/>
                    </a:xfrm>
                    <a:prstGeom prst="rect">
                      <a:avLst/>
                    </a:prstGeom>
                  </pic:spPr>
                </pic:pic>
              </a:graphicData>
            </a:graphic>
          </wp:inline>
        </w:drawing>
      </w:r>
    </w:p>
    <w:p w14:paraId="264FB509" w14:textId="6945EA06" w:rsidR="00393337" w:rsidRPr="004A6F95" w:rsidRDefault="008625B4"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sidRPr="008625B4">
        <w:rPr>
          <w:rFonts w:ascii="Times New Roman" w:hAnsi="Times New Roman" w:cs="Times New Roman"/>
          <w:color w:val="000000"/>
        </w:rPr>
        <w:t>These regression models support the earlier scatterplot findings, showing</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weak but statistically significant positive relationships</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between ESG scores and financial performance. In the model predicting revenue, a one-point increase in ESG_Overall was associated with a 98.29-unit increase in revenue, yet the model's</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R-squared value is only 0.0229</w:t>
      </w:r>
      <w:r w:rsidRPr="008625B4">
        <w:rPr>
          <w:rFonts w:ascii="Times New Roman" w:hAnsi="Times New Roman" w:cs="Times New Roman"/>
          <w:color w:val="000000"/>
        </w:rPr>
        <w:t>, meaning it explains just</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2.29%</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of the variation in revenue. Similarly, in the model predicting profit margin, a one-point ESG increase corresponded to a 0.059 percentage point rise in profit margin, with an</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R-squared of 0.0115</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(just</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1.15%</w:t>
      </w:r>
      <w:r w:rsidRPr="008625B4">
        <w:rPr>
          <w:rStyle w:val="apple-converted-space"/>
          <w:rFonts w:ascii="Times New Roman" w:hAnsi="Times New Roman" w:cs="Times New Roman"/>
          <w:color w:val="000000"/>
        </w:rPr>
        <w:t> </w:t>
      </w:r>
      <w:r w:rsidRPr="008625B4">
        <w:rPr>
          <w:rFonts w:ascii="Times New Roman" w:hAnsi="Times New Roman" w:cs="Times New Roman"/>
          <w:color w:val="000000"/>
        </w:rPr>
        <w:t>of variance explained). These results suggest that while ESG scores are positively associated with financial metrics, their</w:t>
      </w:r>
      <w:r w:rsidRPr="008625B4">
        <w:rPr>
          <w:rStyle w:val="apple-converted-space"/>
          <w:rFonts w:ascii="Times New Roman" w:hAnsi="Times New Roman" w:cs="Times New Roman"/>
          <w:color w:val="000000"/>
        </w:rPr>
        <w:t> </w:t>
      </w:r>
      <w:r w:rsidRPr="008625B4">
        <w:rPr>
          <w:rStyle w:val="Strong"/>
          <w:rFonts w:ascii="Times New Roman" w:hAnsi="Times New Roman" w:cs="Times New Roman"/>
          <w:color w:val="000000"/>
        </w:rPr>
        <w:t>predictive power is limited</w:t>
      </w:r>
      <w:r w:rsidRPr="008625B4">
        <w:rPr>
          <w:rFonts w:ascii="Times New Roman" w:hAnsi="Times New Roman" w:cs="Times New Roman"/>
          <w:color w:val="000000"/>
        </w:rPr>
        <w:t>. ESG is likely one of many contributing factors, and more complex, multivariable models are needed to capture the full picture of financial performance.</w:t>
      </w:r>
    </w:p>
    <w:p w14:paraId="0FD0A386" w14:textId="2BA2F4F2" w:rsidR="004A6F95" w:rsidRDefault="004A6F95"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0A39B9B6" w14:textId="77C3A38D" w:rsidR="00E9626D" w:rsidRPr="004A6F95" w:rsidRDefault="00E9626D"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330805C5" wp14:editId="38CE7367">
            <wp:extent cx="2640890" cy="1698572"/>
            <wp:effectExtent l="0" t="0" r="1270" b="3810"/>
            <wp:docPr id="1175850276"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50276" name="Picture 24" descr="A screenshot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6167" cy="171483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276649D1" wp14:editId="4762EA97">
            <wp:extent cx="2589709" cy="1708106"/>
            <wp:effectExtent l="0" t="0" r="1270" b="0"/>
            <wp:docPr id="2121631220" name="Picture 25"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31220" name="Picture 25" descr="A computer screen shot of a numb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8406" cy="1727034"/>
                    </a:xfrm>
                    <a:prstGeom prst="rect">
                      <a:avLst/>
                    </a:prstGeom>
                  </pic:spPr>
                </pic:pic>
              </a:graphicData>
            </a:graphic>
          </wp:inline>
        </w:drawing>
      </w:r>
    </w:p>
    <w:p w14:paraId="62463D2B" w14:textId="005FEA09" w:rsidR="007B7600" w:rsidRPr="004B6FA4" w:rsidRDefault="004B6FA4" w:rsidP="007B7600">
      <w:pPr>
        <w:spacing w:before="100" w:beforeAutospacing="1" w:after="100" w:afterAutospacing="1" w:line="240" w:lineRule="auto"/>
        <w:ind w:left="360"/>
        <w:rPr>
          <w:rFonts w:ascii="Times New Roman" w:eastAsia="Times New Roman" w:hAnsi="Times New Roman" w:cs="Times New Roman"/>
          <w:color w:val="000000"/>
          <w:kern w:val="0"/>
          <w14:ligatures w14:val="none"/>
        </w:rPr>
      </w:pPr>
      <w:r w:rsidRPr="004B6FA4">
        <w:rPr>
          <w:rFonts w:ascii="Times New Roman" w:hAnsi="Times New Roman" w:cs="Times New Roman"/>
          <w:color w:val="000000"/>
        </w:rPr>
        <w:t>The ANOVA results provide strong statistical evidence that ESG scores vary significantly across industries. With an F-value of 138.2 and a p-value less than 2e–16, we reject the null hypothesis that all industries have the same mean ESG_Overall score. This supports what was visually observed in the boxplot: certain industries—such as Energy and Finance—tend to have higher ESG performance, while others, like Transportation, show lower average scores. These findings highlight the importance of including industry as a categorical predictor in the final regression model, as it clearly plays a significant role in explaining ESG variability.</w:t>
      </w:r>
    </w:p>
    <w:p w14:paraId="2E4D2F38" w14:textId="54998C1D" w:rsidR="004A6F95" w:rsidRDefault="004A6F95"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7BF8218C" w14:textId="26541583" w:rsidR="00E9626D" w:rsidRDefault="00E9626D"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02C9FA6A" wp14:editId="241EA9C0">
            <wp:extent cx="3319602" cy="625764"/>
            <wp:effectExtent l="0" t="0" r="0" b="0"/>
            <wp:docPr id="1671512703" name="Picture 2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12703" name="Picture 26" descr="A black background with white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2128" cy="646976"/>
                    </a:xfrm>
                    <a:prstGeom prst="rect">
                      <a:avLst/>
                    </a:prstGeom>
                  </pic:spPr>
                </pic:pic>
              </a:graphicData>
            </a:graphic>
          </wp:inline>
        </w:drawing>
      </w:r>
    </w:p>
    <w:p w14:paraId="41C96E77" w14:textId="77777777" w:rsidR="00E9626D" w:rsidRDefault="00E9626D"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4B722CD5" w14:textId="77777777" w:rsidR="007B7600" w:rsidRPr="004A6F95" w:rsidRDefault="007B7600" w:rsidP="004A6F95">
      <w:pPr>
        <w:spacing w:before="100" w:beforeAutospacing="1" w:after="100" w:afterAutospacing="1" w:line="240" w:lineRule="auto"/>
        <w:ind w:left="720"/>
        <w:rPr>
          <w:rFonts w:ascii="Times New Roman" w:eastAsia="Times New Roman" w:hAnsi="Times New Roman" w:cs="Times New Roman"/>
          <w:color w:val="000000"/>
          <w:kern w:val="0"/>
          <w14:ligatures w14:val="none"/>
        </w:rPr>
      </w:pPr>
    </w:p>
    <w:p w14:paraId="33DCA636" w14:textId="77777777" w:rsidR="007C09B9" w:rsidRP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C09B9">
        <w:rPr>
          <w:rFonts w:ascii="Times New Roman" w:eastAsia="Times New Roman" w:hAnsi="Times New Roman" w:cs="Times New Roman"/>
          <w:b/>
          <w:bCs/>
          <w:color w:val="000000"/>
          <w:kern w:val="0"/>
          <w:sz w:val="27"/>
          <w:szCs w:val="27"/>
          <w14:ligatures w14:val="none"/>
        </w:rPr>
        <w:t>8. Model Building and Evaluation</w:t>
      </w:r>
    </w:p>
    <w:p w14:paraId="32E12B00" w14:textId="77777777" w:rsidR="007C09B9" w:rsidRPr="007C09B9" w:rsidRDefault="007C09B9" w:rsidP="007C09B9">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b/>
          <w:bCs/>
          <w:color w:val="000000"/>
          <w:kern w:val="0"/>
          <w14:ligatures w14:val="none"/>
        </w:rPr>
        <w:t>Final Model</w:t>
      </w:r>
      <w:r w:rsidRPr="007C09B9">
        <w:rPr>
          <w:rFonts w:ascii="Times New Roman" w:eastAsia="Times New Roman" w:hAnsi="Times New Roman" w:cs="Times New Roman"/>
          <w:color w:val="000000"/>
          <w:kern w:val="0"/>
          <w14:ligatures w14:val="none"/>
        </w:rPr>
        <w:t>:</w:t>
      </w:r>
      <w:r w:rsidRPr="007C09B9">
        <w:rPr>
          <w:rFonts w:ascii="Times New Roman" w:eastAsia="Times New Roman" w:hAnsi="Times New Roman" w:cs="Times New Roman"/>
          <w:color w:val="000000"/>
          <w:kern w:val="0"/>
          <w14:ligatures w14:val="none"/>
        </w:rPr>
        <w:br/>
      </w:r>
      <w:r w:rsidRPr="007C09B9">
        <w:rPr>
          <w:rFonts w:ascii="Courier New" w:eastAsia="Times New Roman" w:hAnsi="Courier New" w:cs="Courier New"/>
          <w:color w:val="000000"/>
          <w:kern w:val="0"/>
          <w:sz w:val="20"/>
          <w:szCs w:val="20"/>
          <w14:ligatures w14:val="none"/>
        </w:rPr>
        <w:t>ESG_Overall ~ log_Revenue + log_CarbonEmissions + Industry + Region</w:t>
      </w:r>
    </w:p>
    <w:p w14:paraId="1CBCD497" w14:textId="77777777" w:rsidR="007C09B9" w:rsidRPr="007C09B9" w:rsidRDefault="007C09B9" w:rsidP="007C09B9">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b/>
          <w:bCs/>
          <w:color w:val="000000"/>
          <w:kern w:val="0"/>
          <w14:ligatures w14:val="none"/>
        </w:rPr>
        <w:t>Assumptions tested</w:t>
      </w:r>
      <w:r w:rsidRPr="007C09B9">
        <w:rPr>
          <w:rFonts w:ascii="Times New Roman" w:eastAsia="Times New Roman" w:hAnsi="Times New Roman" w:cs="Times New Roman"/>
          <w:color w:val="000000"/>
          <w:kern w:val="0"/>
          <w14:ligatures w14:val="none"/>
        </w:rPr>
        <w:t>:</w:t>
      </w:r>
    </w:p>
    <w:p w14:paraId="13345989" w14:textId="77777777" w:rsidR="007C09B9" w:rsidRPr="007C09B9" w:rsidRDefault="007C09B9" w:rsidP="007C09B9">
      <w:pPr>
        <w:numPr>
          <w:ilvl w:val="1"/>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Residuals: Q-Q plots</w:t>
      </w:r>
    </w:p>
    <w:p w14:paraId="5A5B9B7C" w14:textId="77777777" w:rsidR="007C09B9" w:rsidRPr="007C09B9" w:rsidRDefault="007C09B9" w:rsidP="007C09B9">
      <w:pPr>
        <w:numPr>
          <w:ilvl w:val="1"/>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Homoscedasticity: Breusch-Pagan test (</w:t>
      </w:r>
      <w:r w:rsidRPr="007C09B9">
        <w:rPr>
          <w:rFonts w:ascii="Courier New" w:eastAsia="Times New Roman" w:hAnsi="Courier New" w:cs="Courier New"/>
          <w:color w:val="000000"/>
          <w:kern w:val="0"/>
          <w:sz w:val="20"/>
          <w:szCs w:val="20"/>
          <w14:ligatures w14:val="none"/>
        </w:rPr>
        <w:t>bptest</w:t>
      </w:r>
      <w:r w:rsidRPr="007C09B9">
        <w:rPr>
          <w:rFonts w:ascii="Times New Roman" w:eastAsia="Times New Roman" w:hAnsi="Times New Roman" w:cs="Times New Roman"/>
          <w:color w:val="000000"/>
          <w:kern w:val="0"/>
          <w14:ligatures w14:val="none"/>
        </w:rPr>
        <w:t>)</w:t>
      </w:r>
    </w:p>
    <w:p w14:paraId="0768BF2A" w14:textId="77777777" w:rsidR="007C09B9" w:rsidRPr="007C09B9" w:rsidRDefault="007C09B9" w:rsidP="007C09B9">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b/>
          <w:bCs/>
          <w:color w:val="000000"/>
          <w:kern w:val="0"/>
          <w14:ligatures w14:val="none"/>
        </w:rPr>
        <w:t>Train-Test Split</w:t>
      </w:r>
      <w:r w:rsidRPr="007C09B9">
        <w:rPr>
          <w:rFonts w:ascii="Times New Roman" w:eastAsia="Times New Roman" w:hAnsi="Times New Roman" w:cs="Times New Roman"/>
          <w:color w:val="000000"/>
          <w:kern w:val="0"/>
          <w14:ligatures w14:val="none"/>
        </w:rPr>
        <w:t> (80/20 using </w:t>
      </w:r>
      <w:r w:rsidRPr="007C09B9">
        <w:rPr>
          <w:rFonts w:ascii="Courier New" w:eastAsia="Times New Roman" w:hAnsi="Courier New" w:cs="Courier New"/>
          <w:color w:val="000000"/>
          <w:kern w:val="0"/>
          <w:sz w:val="20"/>
          <w:szCs w:val="20"/>
          <w14:ligatures w14:val="none"/>
        </w:rPr>
        <w:t>caret::createDataPartition</w:t>
      </w:r>
      <w:r w:rsidRPr="007C09B9">
        <w:rPr>
          <w:rFonts w:ascii="Times New Roman" w:eastAsia="Times New Roman" w:hAnsi="Times New Roman" w:cs="Times New Roman"/>
          <w:color w:val="000000"/>
          <w:kern w:val="0"/>
          <w14:ligatures w14:val="none"/>
        </w:rPr>
        <w:t>)</w:t>
      </w:r>
    </w:p>
    <w:p w14:paraId="587A5CF0" w14:textId="77777777" w:rsidR="007C09B9" w:rsidRPr="007C09B9" w:rsidRDefault="007C09B9" w:rsidP="007C09B9">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b/>
          <w:bCs/>
          <w:color w:val="000000"/>
          <w:kern w:val="0"/>
          <w14:ligatures w14:val="none"/>
        </w:rPr>
        <w:t>Model Evaluation</w:t>
      </w:r>
      <w:r w:rsidRPr="007C09B9">
        <w:rPr>
          <w:rFonts w:ascii="Times New Roman" w:eastAsia="Times New Roman" w:hAnsi="Times New Roman" w:cs="Times New Roman"/>
          <w:color w:val="000000"/>
          <w:kern w:val="0"/>
          <w14:ligatures w14:val="none"/>
        </w:rPr>
        <w:t>:</w:t>
      </w:r>
    </w:p>
    <w:p w14:paraId="694C433E" w14:textId="77777777" w:rsidR="007C09B9" w:rsidRPr="007C09B9" w:rsidRDefault="007C09B9" w:rsidP="007C09B9">
      <w:pPr>
        <w:numPr>
          <w:ilvl w:val="1"/>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Used </w:t>
      </w:r>
      <w:r w:rsidRPr="007C09B9">
        <w:rPr>
          <w:rFonts w:ascii="Courier New" w:eastAsia="Times New Roman" w:hAnsi="Courier New" w:cs="Courier New"/>
          <w:color w:val="000000"/>
          <w:kern w:val="0"/>
          <w:sz w:val="20"/>
          <w:szCs w:val="20"/>
          <w14:ligatures w14:val="none"/>
        </w:rPr>
        <w:t>postResample</w:t>
      </w:r>
      <w:r w:rsidRPr="007C09B9">
        <w:rPr>
          <w:rFonts w:ascii="Times New Roman" w:eastAsia="Times New Roman" w:hAnsi="Times New Roman" w:cs="Times New Roman"/>
          <w:color w:val="000000"/>
          <w:kern w:val="0"/>
          <w14:ligatures w14:val="none"/>
        </w:rPr>
        <w:t> to evaluate RMSE and R² on test data</w:t>
      </w:r>
    </w:p>
    <w:p w14:paraId="2DBC9C7B" w14:textId="77777777" w:rsidR="007C09B9" w:rsidRDefault="007C09B9" w:rsidP="007C09B9">
      <w:pPr>
        <w:numPr>
          <w:ilvl w:val="1"/>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color w:val="000000"/>
          <w:kern w:val="0"/>
          <w14:ligatures w14:val="none"/>
        </w:rPr>
        <w:t>Compared predicted vs actual values with scatter plot</w:t>
      </w:r>
    </w:p>
    <w:p w14:paraId="52714239"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The final linear regression model predicting ESG_Overall used four key predictors: log_Revenue, log_CarbonEmissions, Industry, and Region. All variables were statistically significant (</w:t>
      </w:r>
      <w:r w:rsidRPr="004B6FA4">
        <w:rPr>
          <w:rFonts w:ascii="Times New Roman" w:eastAsia="Times New Roman" w:hAnsi="Times New Roman" w:cs="Times New Roman"/>
          <w:i/>
          <w:iCs/>
          <w:color w:val="000000"/>
          <w:kern w:val="0"/>
          <w14:ligatures w14:val="none"/>
        </w:rPr>
        <w:t>p</w:t>
      </w:r>
      <w:r w:rsidRPr="004B6FA4">
        <w:rPr>
          <w:rFonts w:ascii="Times New Roman" w:eastAsia="Times New Roman" w:hAnsi="Times New Roman" w:cs="Times New Roman"/>
          <w:color w:val="000000"/>
          <w:kern w:val="0"/>
          <w14:ligatures w14:val="none"/>
        </w:rPr>
        <w:t> &lt; 2e–16), and the model fit was strong, with an </w:t>
      </w:r>
      <w:r w:rsidRPr="004B6FA4">
        <w:rPr>
          <w:rFonts w:ascii="Times New Roman" w:eastAsia="Times New Roman" w:hAnsi="Times New Roman" w:cs="Times New Roman"/>
          <w:b/>
          <w:bCs/>
          <w:color w:val="000000"/>
          <w:kern w:val="0"/>
          <w14:ligatures w14:val="none"/>
        </w:rPr>
        <w:t>adjusted R² of 0.6287</w:t>
      </w:r>
      <w:r w:rsidRPr="004B6FA4">
        <w:rPr>
          <w:rFonts w:ascii="Times New Roman" w:eastAsia="Times New Roman" w:hAnsi="Times New Roman" w:cs="Times New Roman"/>
          <w:color w:val="000000"/>
          <w:kern w:val="0"/>
          <w14:ligatures w14:val="none"/>
        </w:rPr>
        <w:t> on the training set.</w:t>
      </w:r>
    </w:p>
    <w:p w14:paraId="5E065C99" w14:textId="77777777" w:rsidR="004B6FA4" w:rsidRPr="004B6FA4" w:rsidRDefault="004B6FA4" w:rsidP="004B6FA4">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b/>
          <w:bCs/>
          <w:color w:val="000000"/>
          <w:kern w:val="0"/>
          <w14:ligatures w14:val="none"/>
        </w:rPr>
        <w:t>Financial Size</w:t>
      </w:r>
      <w:r w:rsidRPr="004B6FA4">
        <w:rPr>
          <w:rFonts w:ascii="Times New Roman" w:eastAsia="Times New Roman" w:hAnsi="Times New Roman" w:cs="Times New Roman"/>
          <w:color w:val="000000"/>
          <w:kern w:val="0"/>
          <w14:ligatures w14:val="none"/>
        </w:rPr>
        <w:t>: The coefficient for log_Revenue was </w:t>
      </w:r>
      <w:r w:rsidRPr="004B6FA4">
        <w:rPr>
          <w:rFonts w:ascii="Times New Roman" w:eastAsia="Times New Roman" w:hAnsi="Times New Roman" w:cs="Times New Roman"/>
          <w:b/>
          <w:bCs/>
          <w:color w:val="000000"/>
          <w:kern w:val="0"/>
          <w14:ligatures w14:val="none"/>
        </w:rPr>
        <w:t>+40.89</w:t>
      </w:r>
      <w:r w:rsidRPr="004B6FA4">
        <w:rPr>
          <w:rFonts w:ascii="Times New Roman" w:eastAsia="Times New Roman" w:hAnsi="Times New Roman" w:cs="Times New Roman"/>
          <w:color w:val="000000"/>
          <w:kern w:val="0"/>
          <w14:ligatures w14:val="none"/>
        </w:rPr>
        <w:t>, meaning a one-unit increase in log-revenue (roughly a 2.7× increase in actual revenue) was associated with a </w:t>
      </w:r>
      <w:r w:rsidRPr="004B6FA4">
        <w:rPr>
          <w:rFonts w:ascii="Times New Roman" w:eastAsia="Times New Roman" w:hAnsi="Times New Roman" w:cs="Times New Roman"/>
          <w:b/>
          <w:bCs/>
          <w:color w:val="000000"/>
          <w:kern w:val="0"/>
          <w14:ligatures w14:val="none"/>
        </w:rPr>
        <w:t>40-point increase in ESG score</w:t>
      </w:r>
      <w:r w:rsidRPr="004B6FA4">
        <w:rPr>
          <w:rFonts w:ascii="Times New Roman" w:eastAsia="Times New Roman" w:hAnsi="Times New Roman" w:cs="Times New Roman"/>
          <w:color w:val="000000"/>
          <w:kern w:val="0"/>
          <w14:ligatures w14:val="none"/>
        </w:rPr>
        <w:t>, all else equal. This confirms that larger firms are typically rated more positively in ESG metrics.</w:t>
      </w:r>
    </w:p>
    <w:p w14:paraId="351B35E5" w14:textId="77777777" w:rsidR="004B6FA4" w:rsidRPr="004B6FA4" w:rsidRDefault="004B6FA4" w:rsidP="004B6FA4">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b/>
          <w:bCs/>
          <w:color w:val="000000"/>
          <w:kern w:val="0"/>
          <w14:ligatures w14:val="none"/>
        </w:rPr>
        <w:t>Environmental Impact</w:t>
      </w:r>
      <w:r w:rsidRPr="004B6FA4">
        <w:rPr>
          <w:rFonts w:ascii="Times New Roman" w:eastAsia="Times New Roman" w:hAnsi="Times New Roman" w:cs="Times New Roman"/>
          <w:color w:val="000000"/>
          <w:kern w:val="0"/>
          <w14:ligatures w14:val="none"/>
        </w:rPr>
        <w:t>: The coefficient for log_CarbonEmissions was </w:t>
      </w:r>
      <w:r w:rsidRPr="004B6FA4">
        <w:rPr>
          <w:rFonts w:ascii="Times New Roman" w:eastAsia="Times New Roman" w:hAnsi="Times New Roman" w:cs="Times New Roman"/>
          <w:b/>
          <w:bCs/>
          <w:color w:val="000000"/>
          <w:kern w:val="0"/>
          <w14:ligatures w14:val="none"/>
        </w:rPr>
        <w:t>–40.49</w:t>
      </w:r>
      <w:r w:rsidRPr="004B6FA4">
        <w:rPr>
          <w:rFonts w:ascii="Times New Roman" w:eastAsia="Times New Roman" w:hAnsi="Times New Roman" w:cs="Times New Roman"/>
          <w:color w:val="000000"/>
          <w:kern w:val="0"/>
          <w14:ligatures w14:val="none"/>
        </w:rPr>
        <w:t>, showing that companies with higher emissions tend to receive lower ESG scores — reinforcing the ESG framework's environmental accountability.</w:t>
      </w:r>
    </w:p>
    <w:p w14:paraId="6FEF63A3" w14:textId="77777777" w:rsidR="004B6FA4" w:rsidRPr="004B6FA4" w:rsidRDefault="004B6FA4" w:rsidP="004B6FA4">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b/>
          <w:bCs/>
          <w:color w:val="000000"/>
          <w:kern w:val="0"/>
          <w14:ligatures w14:val="none"/>
        </w:rPr>
        <w:t>Industry Effects</w:t>
      </w:r>
      <w:r w:rsidRPr="004B6FA4">
        <w:rPr>
          <w:rFonts w:ascii="Times New Roman" w:eastAsia="Times New Roman" w:hAnsi="Times New Roman" w:cs="Times New Roman"/>
          <w:color w:val="000000"/>
          <w:kern w:val="0"/>
          <w14:ligatures w14:val="none"/>
        </w:rPr>
        <w:t>: Compared to the reference industry, sectors like </w:t>
      </w:r>
      <w:r w:rsidRPr="004B6FA4">
        <w:rPr>
          <w:rFonts w:ascii="Times New Roman" w:eastAsia="Times New Roman" w:hAnsi="Times New Roman" w:cs="Times New Roman"/>
          <w:b/>
          <w:bCs/>
          <w:color w:val="000000"/>
          <w:kern w:val="0"/>
          <w14:ligatures w14:val="none"/>
        </w:rPr>
        <w:t>Energy (+63.12)</w:t>
      </w:r>
      <w:r w:rsidRPr="004B6FA4">
        <w:rPr>
          <w:rFonts w:ascii="Times New Roman" w:eastAsia="Times New Roman" w:hAnsi="Times New Roman" w:cs="Times New Roman"/>
          <w:color w:val="000000"/>
          <w:kern w:val="0"/>
          <w14:ligatures w14:val="none"/>
        </w:rPr>
        <w:t>, </w:t>
      </w:r>
      <w:r w:rsidRPr="004B6FA4">
        <w:rPr>
          <w:rFonts w:ascii="Times New Roman" w:eastAsia="Times New Roman" w:hAnsi="Times New Roman" w:cs="Times New Roman"/>
          <w:b/>
          <w:bCs/>
          <w:color w:val="000000"/>
          <w:kern w:val="0"/>
          <w14:ligatures w14:val="none"/>
        </w:rPr>
        <w:t>Transportation (+43.02)</w:t>
      </w:r>
      <w:r w:rsidRPr="004B6FA4">
        <w:rPr>
          <w:rFonts w:ascii="Times New Roman" w:eastAsia="Times New Roman" w:hAnsi="Times New Roman" w:cs="Times New Roman"/>
          <w:color w:val="000000"/>
          <w:kern w:val="0"/>
          <w14:ligatures w14:val="none"/>
        </w:rPr>
        <w:t>, and </w:t>
      </w:r>
      <w:r w:rsidRPr="004B6FA4">
        <w:rPr>
          <w:rFonts w:ascii="Times New Roman" w:eastAsia="Times New Roman" w:hAnsi="Times New Roman" w:cs="Times New Roman"/>
          <w:b/>
          <w:bCs/>
          <w:color w:val="000000"/>
          <w:kern w:val="0"/>
          <w14:ligatures w14:val="none"/>
        </w:rPr>
        <w:t>Utilities (+55.20)</w:t>
      </w:r>
      <w:r w:rsidRPr="004B6FA4">
        <w:rPr>
          <w:rFonts w:ascii="Times New Roman" w:eastAsia="Times New Roman" w:hAnsi="Times New Roman" w:cs="Times New Roman"/>
          <w:color w:val="000000"/>
          <w:kern w:val="0"/>
          <w14:ligatures w14:val="none"/>
        </w:rPr>
        <w:t> were associated with higher ESG scores. In contrast, </w:t>
      </w:r>
      <w:r w:rsidRPr="004B6FA4">
        <w:rPr>
          <w:rFonts w:ascii="Times New Roman" w:eastAsia="Times New Roman" w:hAnsi="Times New Roman" w:cs="Times New Roman"/>
          <w:b/>
          <w:bCs/>
          <w:color w:val="000000"/>
          <w:kern w:val="0"/>
          <w14:ligatures w14:val="none"/>
        </w:rPr>
        <w:t>Finance (–98.29)</w:t>
      </w:r>
      <w:r w:rsidRPr="004B6FA4">
        <w:rPr>
          <w:rFonts w:ascii="Times New Roman" w:eastAsia="Times New Roman" w:hAnsi="Times New Roman" w:cs="Times New Roman"/>
          <w:color w:val="000000"/>
          <w:kern w:val="0"/>
          <w14:ligatures w14:val="none"/>
        </w:rPr>
        <w:t>, </w:t>
      </w:r>
      <w:r w:rsidRPr="004B6FA4">
        <w:rPr>
          <w:rFonts w:ascii="Times New Roman" w:eastAsia="Times New Roman" w:hAnsi="Times New Roman" w:cs="Times New Roman"/>
          <w:b/>
          <w:bCs/>
          <w:color w:val="000000"/>
          <w:kern w:val="0"/>
          <w14:ligatures w14:val="none"/>
        </w:rPr>
        <w:t>Healthcare (–31.64)</w:t>
      </w:r>
      <w:r w:rsidRPr="004B6FA4">
        <w:rPr>
          <w:rFonts w:ascii="Times New Roman" w:eastAsia="Times New Roman" w:hAnsi="Times New Roman" w:cs="Times New Roman"/>
          <w:color w:val="000000"/>
          <w:kern w:val="0"/>
          <w14:ligatures w14:val="none"/>
        </w:rPr>
        <w:t>, and </w:t>
      </w:r>
      <w:r w:rsidRPr="004B6FA4">
        <w:rPr>
          <w:rFonts w:ascii="Times New Roman" w:eastAsia="Times New Roman" w:hAnsi="Times New Roman" w:cs="Times New Roman"/>
          <w:b/>
          <w:bCs/>
          <w:color w:val="000000"/>
          <w:kern w:val="0"/>
          <w14:ligatures w14:val="none"/>
        </w:rPr>
        <w:t>Retail (–28.64)</w:t>
      </w:r>
      <w:r w:rsidRPr="004B6FA4">
        <w:rPr>
          <w:rFonts w:ascii="Times New Roman" w:eastAsia="Times New Roman" w:hAnsi="Times New Roman" w:cs="Times New Roman"/>
          <w:color w:val="000000"/>
          <w:kern w:val="0"/>
          <w14:ligatures w14:val="none"/>
        </w:rPr>
        <w:t> had significantly lower ESG scores, aligning with the earlier boxplot and ANOVA results.</w:t>
      </w:r>
    </w:p>
    <w:p w14:paraId="4DCE4F10" w14:textId="77777777" w:rsidR="004B6FA4" w:rsidRPr="004B6FA4" w:rsidRDefault="004B6FA4" w:rsidP="004B6FA4">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b/>
          <w:bCs/>
          <w:color w:val="000000"/>
          <w:kern w:val="0"/>
          <w14:ligatures w14:val="none"/>
        </w:rPr>
        <w:t>Regional Differences</w:t>
      </w:r>
      <w:r w:rsidRPr="004B6FA4">
        <w:rPr>
          <w:rFonts w:ascii="Times New Roman" w:eastAsia="Times New Roman" w:hAnsi="Times New Roman" w:cs="Times New Roman"/>
          <w:color w:val="000000"/>
          <w:kern w:val="0"/>
          <w14:ligatures w14:val="none"/>
        </w:rPr>
        <w:t>: Firms headquartered in </w:t>
      </w:r>
      <w:r w:rsidRPr="004B6FA4">
        <w:rPr>
          <w:rFonts w:ascii="Times New Roman" w:eastAsia="Times New Roman" w:hAnsi="Times New Roman" w:cs="Times New Roman"/>
          <w:b/>
          <w:bCs/>
          <w:color w:val="000000"/>
          <w:kern w:val="0"/>
          <w14:ligatures w14:val="none"/>
        </w:rPr>
        <w:t>Europe (+22.38)</w:t>
      </w:r>
      <w:r w:rsidRPr="004B6FA4">
        <w:rPr>
          <w:rFonts w:ascii="Times New Roman" w:eastAsia="Times New Roman" w:hAnsi="Times New Roman" w:cs="Times New Roman"/>
          <w:color w:val="000000"/>
          <w:kern w:val="0"/>
          <w14:ligatures w14:val="none"/>
        </w:rPr>
        <w:t> and </w:t>
      </w:r>
      <w:r w:rsidRPr="004B6FA4">
        <w:rPr>
          <w:rFonts w:ascii="Times New Roman" w:eastAsia="Times New Roman" w:hAnsi="Times New Roman" w:cs="Times New Roman"/>
          <w:b/>
          <w:bCs/>
          <w:color w:val="000000"/>
          <w:kern w:val="0"/>
          <w14:ligatures w14:val="none"/>
        </w:rPr>
        <w:t>North America (+17.21)</w:t>
      </w:r>
      <w:r w:rsidRPr="004B6FA4">
        <w:rPr>
          <w:rFonts w:ascii="Times New Roman" w:eastAsia="Times New Roman" w:hAnsi="Times New Roman" w:cs="Times New Roman"/>
          <w:color w:val="000000"/>
          <w:kern w:val="0"/>
          <w14:ligatures w14:val="none"/>
        </w:rPr>
        <w:t> scored substantially higher than those in the reference region, while companies in the </w:t>
      </w:r>
      <w:r w:rsidRPr="004B6FA4">
        <w:rPr>
          <w:rFonts w:ascii="Times New Roman" w:eastAsia="Times New Roman" w:hAnsi="Times New Roman" w:cs="Times New Roman"/>
          <w:b/>
          <w:bCs/>
          <w:color w:val="000000"/>
          <w:kern w:val="0"/>
          <w14:ligatures w14:val="none"/>
        </w:rPr>
        <w:t>Middle East (–2.38)</w:t>
      </w:r>
      <w:r w:rsidRPr="004B6FA4">
        <w:rPr>
          <w:rFonts w:ascii="Times New Roman" w:eastAsia="Times New Roman" w:hAnsi="Times New Roman" w:cs="Times New Roman"/>
          <w:color w:val="000000"/>
          <w:kern w:val="0"/>
          <w14:ligatures w14:val="none"/>
        </w:rPr>
        <w:t> showed slightly lower ESG scores on average.</w:t>
      </w:r>
    </w:p>
    <w:p w14:paraId="1EBCAF3D" w14:textId="77777777" w:rsid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p>
    <w:p w14:paraId="4E3C3E46" w14:textId="0B3B629C" w:rsid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0042A250" wp14:editId="704341D6">
            <wp:extent cx="3753516" cy="3266964"/>
            <wp:effectExtent l="0" t="0" r="5715" b="0"/>
            <wp:docPr id="1544044000"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44000" name="Picture 27"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2677" cy="3309753"/>
                    </a:xfrm>
                    <a:prstGeom prst="rect">
                      <a:avLst/>
                    </a:prstGeom>
                  </pic:spPr>
                </pic:pic>
              </a:graphicData>
            </a:graphic>
          </wp:inline>
        </w:drawing>
      </w:r>
    </w:p>
    <w:p w14:paraId="5BC75343" w14:textId="1EE6998F" w:rsidR="004B6FA4" w:rsidRPr="004B6FA4" w:rsidRDefault="004B6FA4"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hAnsi="Times New Roman" w:cs="Times New Roman"/>
          <w:color w:val="000000"/>
        </w:rPr>
        <w:t>The small drop in R² (from 62.9% to 59.9%) and RMSE indicates</w:t>
      </w:r>
      <w:r w:rsidRPr="004B6FA4">
        <w:rPr>
          <w:rStyle w:val="apple-converted-space"/>
          <w:rFonts w:ascii="Times New Roman" w:hAnsi="Times New Roman" w:cs="Times New Roman"/>
          <w:color w:val="000000"/>
        </w:rPr>
        <w:t> </w:t>
      </w:r>
      <w:r w:rsidRPr="004B6FA4">
        <w:rPr>
          <w:rStyle w:val="Strong"/>
          <w:rFonts w:ascii="Times New Roman" w:hAnsi="Times New Roman" w:cs="Times New Roman"/>
          <w:color w:val="000000"/>
        </w:rPr>
        <w:t>strong generalization</w:t>
      </w:r>
      <w:r w:rsidRPr="004B6FA4">
        <w:rPr>
          <w:rFonts w:ascii="Times New Roman" w:hAnsi="Times New Roman" w:cs="Times New Roman"/>
          <w:color w:val="000000"/>
        </w:rPr>
        <w:t>. The predicted vs. actual plot shows points closely following the 45-degree reference line, confirming that the model makes accurate and stable predictions.</w:t>
      </w:r>
    </w:p>
    <w:p w14:paraId="5FF203AF" w14:textId="77777777" w:rsidR="0026492F" w:rsidRP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26492F">
        <w:rPr>
          <w:rFonts w:ascii="Times New Roman" w:eastAsia="Times New Roman" w:hAnsi="Times New Roman" w:cs="Times New Roman"/>
          <w:color w:val="000000"/>
          <w:kern w:val="0"/>
          <w14:ligatures w14:val="none"/>
        </w:rPr>
        <w:t xml:space="preserve">  &gt; train_metrics</w:t>
      </w:r>
    </w:p>
    <w:p w14:paraId="628447EF" w14:textId="77777777" w:rsidR="0026492F" w:rsidRP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26492F">
        <w:rPr>
          <w:rFonts w:ascii="Times New Roman" w:eastAsia="Times New Roman" w:hAnsi="Times New Roman" w:cs="Times New Roman"/>
          <w:color w:val="000000"/>
          <w:kern w:val="0"/>
          <w14:ligatures w14:val="none"/>
        </w:rPr>
        <w:t xml:space="preserve">     RMSE  Rsquared       MAE </w:t>
      </w:r>
    </w:p>
    <w:p w14:paraId="07C8833B" w14:textId="77777777" w:rsidR="0026492F" w:rsidRP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26492F">
        <w:rPr>
          <w:rFonts w:ascii="Times New Roman" w:eastAsia="Times New Roman" w:hAnsi="Times New Roman" w:cs="Times New Roman"/>
          <w:color w:val="000000"/>
          <w:kern w:val="0"/>
          <w14:ligatures w14:val="none"/>
        </w:rPr>
        <w:t xml:space="preserve">9.6522426 0.6294768 7.8063834 </w:t>
      </w:r>
    </w:p>
    <w:p w14:paraId="325F1506" w14:textId="77777777" w:rsidR="0026492F" w:rsidRP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26492F">
        <w:rPr>
          <w:rFonts w:ascii="Times New Roman" w:eastAsia="Times New Roman" w:hAnsi="Times New Roman" w:cs="Times New Roman"/>
          <w:color w:val="000000"/>
          <w:kern w:val="0"/>
          <w14:ligatures w14:val="none"/>
        </w:rPr>
        <w:t>&gt; test_metrics</w:t>
      </w:r>
    </w:p>
    <w:p w14:paraId="04B64F90" w14:textId="77777777" w:rsidR="0026492F" w:rsidRP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26492F">
        <w:rPr>
          <w:rFonts w:ascii="Times New Roman" w:eastAsia="Times New Roman" w:hAnsi="Times New Roman" w:cs="Times New Roman"/>
          <w:color w:val="000000"/>
          <w:kern w:val="0"/>
          <w14:ligatures w14:val="none"/>
        </w:rPr>
        <w:t xml:space="preserve">     RMSE  Rsquared       MAE </w:t>
      </w:r>
    </w:p>
    <w:p w14:paraId="7F6A98DE" w14:textId="61170C9F" w:rsidR="0026492F"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sidRPr="0026492F">
        <w:rPr>
          <w:rFonts w:ascii="Times New Roman" w:eastAsia="Times New Roman" w:hAnsi="Times New Roman" w:cs="Times New Roman"/>
          <w:color w:val="000000"/>
          <w:kern w:val="0"/>
          <w14:ligatures w14:val="none"/>
        </w:rPr>
        <w:t>9.8327625 0.5993319 7.9280077</w:t>
      </w:r>
    </w:p>
    <w:p w14:paraId="47B167A8" w14:textId="77777777" w:rsidR="004B6FA4" w:rsidRDefault="004B6FA4" w:rsidP="0026492F">
      <w:pPr>
        <w:spacing w:before="100" w:beforeAutospacing="1" w:after="100" w:afterAutospacing="1" w:line="240" w:lineRule="auto"/>
        <w:rPr>
          <w:rFonts w:ascii="Times New Roman" w:eastAsia="Times New Roman" w:hAnsi="Times New Roman" w:cs="Times New Roman"/>
          <w:color w:val="000000"/>
          <w:kern w:val="0"/>
          <w14:ligatures w14:val="none"/>
        </w:rPr>
      </w:pPr>
    </w:p>
    <w:p w14:paraId="6751278C" w14:textId="2F670ACA" w:rsidR="004B6FA4" w:rsidRPr="007C09B9" w:rsidRDefault="0026492F" w:rsidP="0026492F">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2E2CADD2" wp14:editId="3BFB8B71">
            <wp:extent cx="3261147" cy="2213721"/>
            <wp:effectExtent l="0" t="0" r="3175" b="0"/>
            <wp:docPr id="386340510" name="Picture 28"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40510" name="Picture 28" descr="A graph with blue do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1272" cy="2295264"/>
                    </a:xfrm>
                    <a:prstGeom prst="rect">
                      <a:avLst/>
                    </a:prstGeom>
                  </pic:spPr>
                </pic:pic>
              </a:graphicData>
            </a:graphic>
          </wp:inline>
        </w:drawing>
      </w:r>
    </w:p>
    <w:p w14:paraId="2731D371" w14:textId="7051FF6D" w:rsidR="007C09B9" w:rsidRP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C09B9">
        <w:rPr>
          <w:rFonts w:ascii="Times New Roman" w:eastAsia="Times New Roman" w:hAnsi="Times New Roman" w:cs="Times New Roman"/>
          <w:b/>
          <w:bCs/>
          <w:color w:val="000000"/>
          <w:kern w:val="0"/>
          <w:sz w:val="27"/>
          <w:szCs w:val="27"/>
          <w14:ligatures w14:val="none"/>
        </w:rPr>
        <w:lastRenderedPageBreak/>
        <w:t>9. Conclusion</w:t>
      </w:r>
    </w:p>
    <w:p w14:paraId="132D2A3D"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This project set out to understand how company-level ESG (Environmental, Social, and Governance) performance relates to financial and environmental indicators across a diverse global dataset covering the years 2015 to 2025. Through a structured approach that combined data cleaning, exploratory analysis, statistical testing, and predictive modeling, we arrived at several important insights.</w:t>
      </w:r>
    </w:p>
    <w:p w14:paraId="46BA32E3"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We first observed a steady increase in average ESG scores over time, suggesting growing emphasis on sustainable practices across industries. Initial scatterplots and correlation tests revealed weak but statistically significant relationships between ESG scores and financial indicators like revenue and profit margin. However, it became clear that financial metrics alone could not explain most of the variation in ESG performance.</w:t>
      </w:r>
    </w:p>
    <w:p w14:paraId="703F084D"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More meaningful differences emerged when we examined ESG scores across industries and regions. ANOVA and post-hoc tests confirmed that these structural factors played a significant role in shaping ESG outcomes, justifying their inclusion in our final model. Missing values in ESG and financial variables were carefully imputed using the micemethod, supported by visual and statistical evidence suggesting that missingness was at least partially random.</w:t>
      </w:r>
    </w:p>
    <w:p w14:paraId="3D2E6A02"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The final regression model, which incorporated log-transformed revenue and emissions along with categorical indicators for industry and region, performed strongly—explaining approximately 63% of the variation in ESG scores in the training set and 60% in the test set. Coefficients aligned with expectations: higher revenue predicted higher ESG scores, while greater carbon emissions predicted lower ones. Industry and regional effects were also substantial and highly significant.</w:t>
      </w:r>
    </w:p>
    <w:p w14:paraId="38A5A81E"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Although the model is both interpretable and predictive, there is room for refinement. Future work could explore non-linear methods such as random forests or gradient boosting, introduce interaction terms, or include time-lagged variables to better reflect real-world dynamics. Additional data sources—like qualitative disclosures or ESG controversies—could also enhance the model's depth.</w:t>
      </w:r>
    </w:p>
    <w:p w14:paraId="462F5520" w14:textId="77777777" w:rsidR="004B6FA4" w:rsidRPr="004B6FA4" w:rsidRDefault="004B6FA4" w:rsidP="004B6FA4">
      <w:pPr>
        <w:spacing w:before="100" w:beforeAutospacing="1" w:after="100" w:afterAutospacing="1" w:line="240" w:lineRule="auto"/>
        <w:rPr>
          <w:rFonts w:ascii="Times New Roman" w:eastAsia="Times New Roman" w:hAnsi="Times New Roman" w:cs="Times New Roman"/>
          <w:color w:val="000000"/>
          <w:kern w:val="0"/>
          <w14:ligatures w14:val="none"/>
        </w:rPr>
      </w:pPr>
      <w:r w:rsidRPr="004B6FA4">
        <w:rPr>
          <w:rFonts w:ascii="Times New Roman" w:eastAsia="Times New Roman" w:hAnsi="Times New Roman" w:cs="Times New Roman"/>
          <w:color w:val="000000"/>
          <w:kern w:val="0"/>
          <w14:ligatures w14:val="none"/>
        </w:rPr>
        <w:t>In conclusion, this project provided a solid statistical foundation for understanding ESG performance and demonstrated that company structure, geographic context, and environmental footprint matter just as much—if not more—than pure financial strength. The approach is scalable, interpretable, and grounded in rigorous analysis, offering valuable insights for both researchers and decision-makers interested in sustainability.</w:t>
      </w:r>
    </w:p>
    <w:p w14:paraId="2A8FD5FD" w14:textId="77777777" w:rsidR="007C09B9" w:rsidRPr="007C09B9" w:rsidRDefault="007C09B9" w:rsidP="007C09B9">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7C09B9">
        <w:rPr>
          <w:rFonts w:ascii="Times New Roman" w:eastAsia="Times New Roman" w:hAnsi="Times New Roman" w:cs="Times New Roman"/>
          <w:b/>
          <w:bCs/>
          <w:color w:val="000000"/>
          <w:kern w:val="0"/>
          <w:sz w:val="27"/>
          <w:szCs w:val="27"/>
          <w14:ligatures w14:val="none"/>
        </w:rPr>
        <w:t>10. GitHub Repository</w:t>
      </w:r>
    </w:p>
    <w:p w14:paraId="6B112246" w14:textId="77777777" w:rsidR="007C09B9" w:rsidRPr="007C09B9" w:rsidRDefault="007C09B9" w:rsidP="007C09B9">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7C09B9">
        <w:rPr>
          <w:rFonts w:ascii="Times New Roman" w:eastAsia="Times New Roman" w:hAnsi="Times New Roman" w:cs="Times New Roman"/>
          <w:i/>
          <w:iCs/>
          <w:color w:val="000000"/>
          <w:kern w:val="0"/>
          <w14:ligatures w14:val="none"/>
        </w:rPr>
        <w:t>Link to GitHub repository with full code and data: [Insert your link here]</w:t>
      </w:r>
    </w:p>
    <w:p w14:paraId="443717BE" w14:textId="77777777" w:rsidR="007C09B9" w:rsidRDefault="007C09B9"/>
    <w:sectPr w:rsidR="007C09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A0837"/>
    <w:multiLevelType w:val="multilevel"/>
    <w:tmpl w:val="91527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06685"/>
    <w:multiLevelType w:val="multilevel"/>
    <w:tmpl w:val="B8CC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FB30F1"/>
    <w:multiLevelType w:val="multilevel"/>
    <w:tmpl w:val="785C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B5A41"/>
    <w:multiLevelType w:val="multilevel"/>
    <w:tmpl w:val="9306F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FD5FAA"/>
    <w:multiLevelType w:val="multilevel"/>
    <w:tmpl w:val="9B56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BB542C"/>
    <w:multiLevelType w:val="multilevel"/>
    <w:tmpl w:val="DC2AB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B5248E"/>
    <w:multiLevelType w:val="multilevel"/>
    <w:tmpl w:val="13DC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EB22B1"/>
    <w:multiLevelType w:val="multilevel"/>
    <w:tmpl w:val="3A5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794748"/>
    <w:multiLevelType w:val="multilevel"/>
    <w:tmpl w:val="ADCA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A265FC"/>
    <w:multiLevelType w:val="multilevel"/>
    <w:tmpl w:val="70E0C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AE44AD"/>
    <w:multiLevelType w:val="multilevel"/>
    <w:tmpl w:val="CF00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1D42A1"/>
    <w:multiLevelType w:val="multilevel"/>
    <w:tmpl w:val="18E09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095748">
    <w:abstractNumId w:val="6"/>
  </w:num>
  <w:num w:numId="2" w16cid:durableId="1517648044">
    <w:abstractNumId w:val="9"/>
  </w:num>
  <w:num w:numId="3" w16cid:durableId="1485777658">
    <w:abstractNumId w:val="7"/>
  </w:num>
  <w:num w:numId="4" w16cid:durableId="1253973060">
    <w:abstractNumId w:val="8"/>
  </w:num>
  <w:num w:numId="5" w16cid:durableId="671959047">
    <w:abstractNumId w:val="5"/>
  </w:num>
  <w:num w:numId="6" w16cid:durableId="1932935720">
    <w:abstractNumId w:val="3"/>
  </w:num>
  <w:num w:numId="7" w16cid:durableId="1282763574">
    <w:abstractNumId w:val="0"/>
  </w:num>
  <w:num w:numId="8" w16cid:durableId="378894785">
    <w:abstractNumId w:val="11"/>
  </w:num>
  <w:num w:numId="9" w16cid:durableId="1694573455">
    <w:abstractNumId w:val="2"/>
  </w:num>
  <w:num w:numId="10" w16cid:durableId="414013986">
    <w:abstractNumId w:val="10"/>
  </w:num>
  <w:num w:numId="11" w16cid:durableId="846947811">
    <w:abstractNumId w:val="1"/>
  </w:num>
  <w:num w:numId="12" w16cid:durableId="95903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9B9"/>
    <w:rsid w:val="0026492F"/>
    <w:rsid w:val="00356D9F"/>
    <w:rsid w:val="00393337"/>
    <w:rsid w:val="003E76C3"/>
    <w:rsid w:val="004A6F95"/>
    <w:rsid w:val="004B6FA4"/>
    <w:rsid w:val="005528BC"/>
    <w:rsid w:val="005A0B86"/>
    <w:rsid w:val="00775B3A"/>
    <w:rsid w:val="007B7600"/>
    <w:rsid w:val="007C09B9"/>
    <w:rsid w:val="008625B4"/>
    <w:rsid w:val="0086298A"/>
    <w:rsid w:val="00912111"/>
    <w:rsid w:val="00B3478E"/>
    <w:rsid w:val="00C80D31"/>
    <w:rsid w:val="00D03766"/>
    <w:rsid w:val="00E9626D"/>
    <w:rsid w:val="00F37F38"/>
    <w:rsid w:val="00FC2218"/>
  </w:rsids>
  <m:mathPr>
    <m:mathFont m:val="Cambria Math"/>
    <m:brkBin m:val="before"/>
    <m:brkBinSub m:val="--"/>
    <m:smallFrac m:val="0"/>
    <m:dispDef/>
    <m:lMargin m:val="0"/>
    <m:rMargin m:val="0"/>
    <m:defJc m:val="centerGroup"/>
    <m:wrapIndent m:val="1440"/>
    <m:intLim m:val="subSup"/>
    <m:naryLim m:val="undOvr"/>
  </m:mathPr>
  <w:themeFontLang w:val="en-A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F9B2"/>
  <w15:chartTrackingRefBased/>
  <w15:docId w15:val="{D8ADB6DB-D7DC-6341-A416-551B2664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9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09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09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09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09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09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09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09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09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9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09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09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09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09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09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09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09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09B9"/>
    <w:rPr>
      <w:rFonts w:eastAsiaTheme="majorEastAsia" w:cstheme="majorBidi"/>
      <w:color w:val="272727" w:themeColor="text1" w:themeTint="D8"/>
    </w:rPr>
  </w:style>
  <w:style w:type="paragraph" w:styleId="Title">
    <w:name w:val="Title"/>
    <w:basedOn w:val="Normal"/>
    <w:next w:val="Normal"/>
    <w:link w:val="TitleChar"/>
    <w:uiPriority w:val="10"/>
    <w:qFormat/>
    <w:rsid w:val="007C09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9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9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09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09B9"/>
    <w:pPr>
      <w:spacing w:before="160"/>
      <w:jc w:val="center"/>
    </w:pPr>
    <w:rPr>
      <w:i/>
      <w:iCs/>
      <w:color w:val="404040" w:themeColor="text1" w:themeTint="BF"/>
    </w:rPr>
  </w:style>
  <w:style w:type="character" w:customStyle="1" w:styleId="QuoteChar">
    <w:name w:val="Quote Char"/>
    <w:basedOn w:val="DefaultParagraphFont"/>
    <w:link w:val="Quote"/>
    <w:uiPriority w:val="29"/>
    <w:rsid w:val="007C09B9"/>
    <w:rPr>
      <w:i/>
      <w:iCs/>
      <w:color w:val="404040" w:themeColor="text1" w:themeTint="BF"/>
    </w:rPr>
  </w:style>
  <w:style w:type="paragraph" w:styleId="ListParagraph">
    <w:name w:val="List Paragraph"/>
    <w:basedOn w:val="Normal"/>
    <w:uiPriority w:val="34"/>
    <w:qFormat/>
    <w:rsid w:val="007C09B9"/>
    <w:pPr>
      <w:ind w:left="720"/>
      <w:contextualSpacing/>
    </w:pPr>
  </w:style>
  <w:style w:type="character" w:styleId="IntenseEmphasis">
    <w:name w:val="Intense Emphasis"/>
    <w:basedOn w:val="DefaultParagraphFont"/>
    <w:uiPriority w:val="21"/>
    <w:qFormat/>
    <w:rsid w:val="007C09B9"/>
    <w:rPr>
      <w:i/>
      <w:iCs/>
      <w:color w:val="0F4761" w:themeColor="accent1" w:themeShade="BF"/>
    </w:rPr>
  </w:style>
  <w:style w:type="paragraph" w:styleId="IntenseQuote">
    <w:name w:val="Intense Quote"/>
    <w:basedOn w:val="Normal"/>
    <w:next w:val="Normal"/>
    <w:link w:val="IntenseQuoteChar"/>
    <w:uiPriority w:val="30"/>
    <w:qFormat/>
    <w:rsid w:val="007C09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09B9"/>
    <w:rPr>
      <w:i/>
      <w:iCs/>
      <w:color w:val="0F4761" w:themeColor="accent1" w:themeShade="BF"/>
    </w:rPr>
  </w:style>
  <w:style w:type="character" w:styleId="IntenseReference">
    <w:name w:val="Intense Reference"/>
    <w:basedOn w:val="DefaultParagraphFont"/>
    <w:uiPriority w:val="32"/>
    <w:qFormat/>
    <w:rsid w:val="007C09B9"/>
    <w:rPr>
      <w:b/>
      <w:bCs/>
      <w:smallCaps/>
      <w:color w:val="0F4761" w:themeColor="accent1" w:themeShade="BF"/>
      <w:spacing w:val="5"/>
    </w:rPr>
  </w:style>
  <w:style w:type="character" w:styleId="Strong">
    <w:name w:val="Strong"/>
    <w:basedOn w:val="DefaultParagraphFont"/>
    <w:uiPriority w:val="22"/>
    <w:qFormat/>
    <w:rsid w:val="007C09B9"/>
    <w:rPr>
      <w:b/>
      <w:bCs/>
    </w:rPr>
  </w:style>
  <w:style w:type="character" w:customStyle="1" w:styleId="apple-converted-space">
    <w:name w:val="apple-converted-space"/>
    <w:basedOn w:val="DefaultParagraphFont"/>
    <w:rsid w:val="007C09B9"/>
  </w:style>
  <w:style w:type="character" w:styleId="HTMLCode">
    <w:name w:val="HTML Code"/>
    <w:basedOn w:val="DefaultParagraphFont"/>
    <w:uiPriority w:val="99"/>
    <w:semiHidden/>
    <w:unhideWhenUsed/>
    <w:rsid w:val="007C09B9"/>
    <w:rPr>
      <w:rFonts w:ascii="Courier New" w:eastAsia="Times New Roman" w:hAnsi="Courier New" w:cs="Courier New"/>
      <w:sz w:val="20"/>
      <w:szCs w:val="20"/>
    </w:rPr>
  </w:style>
  <w:style w:type="character" w:styleId="Emphasis">
    <w:name w:val="Emphasis"/>
    <w:basedOn w:val="DefaultParagraphFont"/>
    <w:uiPriority w:val="20"/>
    <w:qFormat/>
    <w:rsid w:val="007C09B9"/>
    <w:rPr>
      <w:i/>
      <w:iCs/>
    </w:rPr>
  </w:style>
  <w:style w:type="character" w:styleId="Hyperlink">
    <w:name w:val="Hyperlink"/>
    <w:basedOn w:val="DefaultParagraphFont"/>
    <w:uiPriority w:val="99"/>
    <w:semiHidden/>
    <w:unhideWhenUsed/>
    <w:rsid w:val="007C09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17304">
      <w:bodyDiv w:val="1"/>
      <w:marLeft w:val="0"/>
      <w:marRight w:val="0"/>
      <w:marTop w:val="0"/>
      <w:marBottom w:val="0"/>
      <w:divBdr>
        <w:top w:val="none" w:sz="0" w:space="0" w:color="auto"/>
        <w:left w:val="none" w:sz="0" w:space="0" w:color="auto"/>
        <w:bottom w:val="none" w:sz="0" w:space="0" w:color="auto"/>
        <w:right w:val="none" w:sz="0" w:space="0" w:color="auto"/>
      </w:divBdr>
    </w:div>
    <w:div w:id="362749127">
      <w:bodyDiv w:val="1"/>
      <w:marLeft w:val="0"/>
      <w:marRight w:val="0"/>
      <w:marTop w:val="0"/>
      <w:marBottom w:val="0"/>
      <w:divBdr>
        <w:top w:val="none" w:sz="0" w:space="0" w:color="auto"/>
        <w:left w:val="none" w:sz="0" w:space="0" w:color="auto"/>
        <w:bottom w:val="none" w:sz="0" w:space="0" w:color="auto"/>
        <w:right w:val="none" w:sz="0" w:space="0" w:color="auto"/>
      </w:divBdr>
    </w:div>
    <w:div w:id="392042363">
      <w:bodyDiv w:val="1"/>
      <w:marLeft w:val="0"/>
      <w:marRight w:val="0"/>
      <w:marTop w:val="0"/>
      <w:marBottom w:val="0"/>
      <w:divBdr>
        <w:top w:val="none" w:sz="0" w:space="0" w:color="auto"/>
        <w:left w:val="none" w:sz="0" w:space="0" w:color="auto"/>
        <w:bottom w:val="none" w:sz="0" w:space="0" w:color="auto"/>
        <w:right w:val="none" w:sz="0" w:space="0" w:color="auto"/>
      </w:divBdr>
    </w:div>
    <w:div w:id="497886697">
      <w:bodyDiv w:val="1"/>
      <w:marLeft w:val="0"/>
      <w:marRight w:val="0"/>
      <w:marTop w:val="0"/>
      <w:marBottom w:val="0"/>
      <w:divBdr>
        <w:top w:val="none" w:sz="0" w:space="0" w:color="auto"/>
        <w:left w:val="none" w:sz="0" w:space="0" w:color="auto"/>
        <w:bottom w:val="none" w:sz="0" w:space="0" w:color="auto"/>
        <w:right w:val="none" w:sz="0" w:space="0" w:color="auto"/>
      </w:divBdr>
    </w:div>
    <w:div w:id="547381713">
      <w:bodyDiv w:val="1"/>
      <w:marLeft w:val="0"/>
      <w:marRight w:val="0"/>
      <w:marTop w:val="0"/>
      <w:marBottom w:val="0"/>
      <w:divBdr>
        <w:top w:val="none" w:sz="0" w:space="0" w:color="auto"/>
        <w:left w:val="none" w:sz="0" w:space="0" w:color="auto"/>
        <w:bottom w:val="none" w:sz="0" w:space="0" w:color="auto"/>
        <w:right w:val="none" w:sz="0" w:space="0" w:color="auto"/>
      </w:divBdr>
    </w:div>
    <w:div w:id="759061835">
      <w:bodyDiv w:val="1"/>
      <w:marLeft w:val="0"/>
      <w:marRight w:val="0"/>
      <w:marTop w:val="0"/>
      <w:marBottom w:val="0"/>
      <w:divBdr>
        <w:top w:val="none" w:sz="0" w:space="0" w:color="auto"/>
        <w:left w:val="none" w:sz="0" w:space="0" w:color="auto"/>
        <w:bottom w:val="none" w:sz="0" w:space="0" w:color="auto"/>
        <w:right w:val="none" w:sz="0" w:space="0" w:color="auto"/>
      </w:divBdr>
    </w:div>
    <w:div w:id="933173175">
      <w:bodyDiv w:val="1"/>
      <w:marLeft w:val="0"/>
      <w:marRight w:val="0"/>
      <w:marTop w:val="0"/>
      <w:marBottom w:val="0"/>
      <w:divBdr>
        <w:top w:val="none" w:sz="0" w:space="0" w:color="auto"/>
        <w:left w:val="none" w:sz="0" w:space="0" w:color="auto"/>
        <w:bottom w:val="none" w:sz="0" w:space="0" w:color="auto"/>
        <w:right w:val="none" w:sz="0" w:space="0" w:color="auto"/>
      </w:divBdr>
    </w:div>
    <w:div w:id="1046757764">
      <w:bodyDiv w:val="1"/>
      <w:marLeft w:val="0"/>
      <w:marRight w:val="0"/>
      <w:marTop w:val="0"/>
      <w:marBottom w:val="0"/>
      <w:divBdr>
        <w:top w:val="none" w:sz="0" w:space="0" w:color="auto"/>
        <w:left w:val="none" w:sz="0" w:space="0" w:color="auto"/>
        <w:bottom w:val="none" w:sz="0" w:space="0" w:color="auto"/>
        <w:right w:val="none" w:sz="0" w:space="0" w:color="auto"/>
      </w:divBdr>
    </w:div>
    <w:div w:id="1094014073">
      <w:bodyDiv w:val="1"/>
      <w:marLeft w:val="0"/>
      <w:marRight w:val="0"/>
      <w:marTop w:val="0"/>
      <w:marBottom w:val="0"/>
      <w:divBdr>
        <w:top w:val="none" w:sz="0" w:space="0" w:color="auto"/>
        <w:left w:val="none" w:sz="0" w:space="0" w:color="auto"/>
        <w:bottom w:val="none" w:sz="0" w:space="0" w:color="auto"/>
        <w:right w:val="none" w:sz="0" w:space="0" w:color="auto"/>
      </w:divBdr>
    </w:div>
    <w:div w:id="1442993592">
      <w:bodyDiv w:val="1"/>
      <w:marLeft w:val="0"/>
      <w:marRight w:val="0"/>
      <w:marTop w:val="0"/>
      <w:marBottom w:val="0"/>
      <w:divBdr>
        <w:top w:val="none" w:sz="0" w:space="0" w:color="auto"/>
        <w:left w:val="none" w:sz="0" w:space="0" w:color="auto"/>
        <w:bottom w:val="none" w:sz="0" w:space="0" w:color="auto"/>
        <w:right w:val="none" w:sz="0" w:space="0" w:color="auto"/>
      </w:divBdr>
    </w:div>
    <w:div w:id="1490831415">
      <w:bodyDiv w:val="1"/>
      <w:marLeft w:val="0"/>
      <w:marRight w:val="0"/>
      <w:marTop w:val="0"/>
      <w:marBottom w:val="0"/>
      <w:divBdr>
        <w:top w:val="none" w:sz="0" w:space="0" w:color="auto"/>
        <w:left w:val="none" w:sz="0" w:space="0" w:color="auto"/>
        <w:bottom w:val="none" w:sz="0" w:space="0" w:color="auto"/>
        <w:right w:val="none" w:sz="0" w:space="0" w:color="auto"/>
      </w:divBdr>
    </w:div>
    <w:div w:id="1716932275">
      <w:bodyDiv w:val="1"/>
      <w:marLeft w:val="0"/>
      <w:marRight w:val="0"/>
      <w:marTop w:val="0"/>
      <w:marBottom w:val="0"/>
      <w:divBdr>
        <w:top w:val="none" w:sz="0" w:space="0" w:color="auto"/>
        <w:left w:val="none" w:sz="0" w:space="0" w:color="auto"/>
        <w:bottom w:val="none" w:sz="0" w:space="0" w:color="auto"/>
        <w:right w:val="none" w:sz="0" w:space="0" w:color="auto"/>
      </w:divBdr>
    </w:div>
    <w:div w:id="1750271265">
      <w:bodyDiv w:val="1"/>
      <w:marLeft w:val="0"/>
      <w:marRight w:val="0"/>
      <w:marTop w:val="0"/>
      <w:marBottom w:val="0"/>
      <w:divBdr>
        <w:top w:val="none" w:sz="0" w:space="0" w:color="auto"/>
        <w:left w:val="none" w:sz="0" w:space="0" w:color="auto"/>
        <w:bottom w:val="none" w:sz="0" w:space="0" w:color="auto"/>
        <w:right w:val="none" w:sz="0" w:space="0" w:color="auto"/>
      </w:divBdr>
    </w:div>
    <w:div w:id="1842307219">
      <w:bodyDiv w:val="1"/>
      <w:marLeft w:val="0"/>
      <w:marRight w:val="0"/>
      <w:marTop w:val="0"/>
      <w:marBottom w:val="0"/>
      <w:divBdr>
        <w:top w:val="none" w:sz="0" w:space="0" w:color="auto"/>
        <w:left w:val="none" w:sz="0" w:space="0" w:color="auto"/>
        <w:bottom w:val="none" w:sz="0" w:space="0" w:color="auto"/>
        <w:right w:val="none" w:sz="0" w:space="0" w:color="auto"/>
      </w:divBdr>
    </w:div>
    <w:div w:id="1952013124">
      <w:bodyDiv w:val="1"/>
      <w:marLeft w:val="0"/>
      <w:marRight w:val="0"/>
      <w:marTop w:val="0"/>
      <w:marBottom w:val="0"/>
      <w:divBdr>
        <w:top w:val="none" w:sz="0" w:space="0" w:color="auto"/>
        <w:left w:val="none" w:sz="0" w:space="0" w:color="auto"/>
        <w:bottom w:val="none" w:sz="0" w:space="0" w:color="auto"/>
        <w:right w:val="none" w:sz="0" w:space="0" w:color="auto"/>
      </w:divBdr>
    </w:div>
    <w:div w:id="200528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shriyashjagtap/esg-and-financial-performance-dataset/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Sanada Naço</dc:creator>
  <cp:keywords/>
  <dc:description/>
  <cp:lastModifiedBy>Sanada Naço</cp:lastModifiedBy>
  <cp:revision>2</cp:revision>
  <dcterms:created xsi:type="dcterms:W3CDTF">2025-05-09T23:07:00Z</dcterms:created>
  <dcterms:modified xsi:type="dcterms:W3CDTF">2025-05-10T13:28:00Z</dcterms:modified>
</cp:coreProperties>
</file>