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foot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jpeg" ContentType="image/jpeg"/>
  <Override PartName="/word/media/image6.png" ContentType="image/png"/>
  <Override PartName="/word/media/image2.png" ContentType="image/png"/>
  <Override PartName="/word/media/image3.png" ContentType="image/png"/>
  <Override PartName="/word/media/image4.png" ContentType="image/png"/>
  <Override PartName="/word/media/image5.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mc:Ignorable="w14 wp14 w15">
  <w:body>
    <w:p xmlns:wp14="http://schemas.microsoft.com/office/word/2010/wordml" w14:paraId="35C42BD5" wp14:textId="77777777">
      <w:pPr>
        <w:pStyle w:val="Normal"/>
        <w:jc w:val="center"/>
        <w:rPr>
          <w:b/>
          <w:bCs/>
        </w:rPr>
      </w:pPr>
      <w:r>
        <w:rPr>
          <w:b/>
          <w:bCs/>
        </w:rPr>
        <w:t>ANEXOS TÉCNICOS DEL INFORME DE AVANCE A LA EJECUCIÓN DEL PROYECTO</w:t>
      </w:r>
    </w:p>
    <w:p xmlns:wp14="http://schemas.microsoft.com/office/word/2010/wordml" w14:paraId="672A6659" wp14:textId="77777777">
      <w:pPr>
        <w:pStyle w:val="Normal"/>
        <w:jc w:val="center"/>
        <w:rPr>
          <w:rFonts w:eastAsia="Arial Narrow" w:cs="Arial Narrow"/>
          <w:b/>
          <w:szCs w:val="24"/>
        </w:rPr>
      </w:pPr>
      <w:r>
        <w:rPr>
          <w:rFonts w:eastAsia="Arial Narrow" w:cs="Arial Narrow"/>
          <w:b/>
          <w:szCs w:val="24"/>
        </w:rPr>
      </w:r>
    </w:p>
    <w:p xmlns:wp14="http://schemas.microsoft.com/office/word/2010/wordml" w14:paraId="0A37501D" wp14:textId="77777777">
      <w:pPr>
        <w:pStyle w:val="Normal"/>
        <w:jc w:val="center"/>
        <w:rPr>
          <w:rFonts w:eastAsia="Arial Narrow" w:cs="Arial Narrow"/>
          <w:b/>
          <w:szCs w:val="24"/>
        </w:rPr>
      </w:pPr>
      <w:r>
        <w:rPr>
          <w:rFonts w:eastAsia="Arial Narrow" w:cs="Arial Narrow"/>
          <w:b/>
          <w:szCs w:val="24"/>
        </w:rPr>
      </w:r>
    </w:p>
    <w:p xmlns:wp14="http://schemas.microsoft.com/office/word/2010/wordml" w14:paraId="5DAB6C7B" wp14:textId="77777777">
      <w:pPr>
        <w:pStyle w:val="Normal"/>
        <w:jc w:val="center"/>
        <w:rPr>
          <w:rFonts w:eastAsia="Arial Narrow" w:cs="Arial Narrow"/>
          <w:b/>
          <w:szCs w:val="24"/>
        </w:rPr>
      </w:pPr>
      <w:r>
        <w:rPr>
          <w:rFonts w:eastAsia="Arial Narrow" w:cs="Arial Narrow"/>
          <w:b/>
          <w:szCs w:val="24"/>
        </w:rPr>
      </w:r>
    </w:p>
    <w:p xmlns:wp14="http://schemas.microsoft.com/office/word/2010/wordml" w14:paraId="1212A0DE" wp14:textId="77777777">
      <w:pPr>
        <w:pStyle w:val="Normal"/>
        <w:jc w:val="center"/>
        <w:rPr>
          <w:rFonts w:eastAsia="Arial Narrow" w:cs="Arial Narrow"/>
          <w:b/>
          <w:bCs/>
          <w:szCs w:val="24"/>
        </w:rPr>
      </w:pPr>
      <w:r>
        <w:rPr>
          <w:rFonts w:eastAsia="Arial Narrow" w:cs="Arial Narrow"/>
          <w:b/>
          <w:bCs/>
          <w:szCs w:val="24"/>
        </w:rPr>
        <w:t>PROYECTO: “VIABILIZACIÓN DE LA PRODUCCIÓN NACIONAL DE MATERIALES Y METODOLOGÍAS PARA EL TRANSPORTE, ALMACENAMIENTO Y USO DE HIDRÓGENO BLANCO”.</w:t>
      </w:r>
    </w:p>
    <w:p xmlns:wp14="http://schemas.microsoft.com/office/word/2010/wordml" w14:paraId="02EB378F" wp14:textId="77777777">
      <w:pPr>
        <w:pStyle w:val="Normal"/>
        <w:jc w:val="center"/>
        <w:rPr>
          <w:rFonts w:eastAsia="Arial Narrow" w:cs="Arial Narrow"/>
          <w:b/>
          <w:bCs/>
          <w:szCs w:val="24"/>
        </w:rPr>
      </w:pPr>
      <w:r>
        <w:rPr>
          <w:rFonts w:eastAsia="Arial Narrow" w:cs="Arial Narrow"/>
          <w:b/>
          <w:bCs/>
          <w:szCs w:val="24"/>
        </w:rPr>
      </w:r>
    </w:p>
    <w:p xmlns:wp14="http://schemas.microsoft.com/office/word/2010/wordml" w14:paraId="78B2BA0E" wp14:textId="77777777">
      <w:pPr>
        <w:pStyle w:val="Normal"/>
        <w:jc w:val="center"/>
        <w:rPr>
          <w:rFonts w:eastAsia="Arial Narrow" w:cs="Arial Narrow"/>
          <w:b/>
          <w:bCs/>
          <w:szCs w:val="24"/>
        </w:rPr>
      </w:pPr>
      <w:r>
        <w:rPr>
          <w:rFonts w:eastAsia="Arial Narrow" w:cs="Arial Narrow"/>
          <w:b/>
          <w:bCs/>
          <w:szCs w:val="24"/>
        </w:rPr>
        <w:t>CÓDIGO SIGP 110923</w:t>
      </w:r>
    </w:p>
    <w:p xmlns:wp14="http://schemas.microsoft.com/office/word/2010/wordml" w14:paraId="78CA0BC3" wp14:textId="77777777">
      <w:pPr>
        <w:pStyle w:val="Normal"/>
        <w:jc w:val="center"/>
        <w:rPr>
          <w:rFonts w:eastAsia="Arial Narrow" w:cs="Arial Narrow"/>
          <w:b/>
          <w:bCs/>
          <w:szCs w:val="24"/>
        </w:rPr>
      </w:pPr>
      <w:r>
        <w:rPr>
          <w:rFonts w:eastAsia="Arial Narrow" w:cs="Arial Narrow"/>
          <w:b/>
          <w:bCs/>
          <w:szCs w:val="24"/>
        </w:rPr>
        <w:t>Contrato No. 112721-056-2025</w:t>
      </w:r>
    </w:p>
    <w:p xmlns:wp14="http://schemas.microsoft.com/office/word/2010/wordml" w14:paraId="6A05A809" wp14:textId="77777777">
      <w:pPr>
        <w:pStyle w:val="Normal"/>
        <w:jc w:val="center"/>
        <w:rPr>
          <w:rFonts w:eastAsia="Arial Narrow" w:cs="Arial Narrow"/>
          <w:b/>
          <w:szCs w:val="24"/>
        </w:rPr>
      </w:pPr>
      <w:r>
        <w:rPr>
          <w:rFonts w:eastAsia="Arial Narrow" w:cs="Arial Narrow"/>
          <w:b/>
          <w:szCs w:val="24"/>
        </w:rPr>
      </w:r>
    </w:p>
    <w:p xmlns:wp14="http://schemas.microsoft.com/office/word/2010/wordml" w14:paraId="301AE9CE" wp14:textId="77777777">
      <w:pPr>
        <w:pStyle w:val="Normal"/>
        <w:jc w:val="center"/>
        <w:rPr>
          <w:rFonts w:eastAsia="Arial Narrow" w:cs="Arial Narrow"/>
          <w:b/>
          <w:szCs w:val="24"/>
        </w:rPr>
      </w:pPr>
      <w:r>
        <w:rPr>
          <w:rFonts w:eastAsia="Arial Narrow" w:cs="Arial Narrow"/>
          <w:b/>
          <w:szCs w:val="24"/>
        </w:rPr>
        <w:t>ENTIDAD EJECUTORA:</w:t>
      </w:r>
    </w:p>
    <w:p xmlns:wp14="http://schemas.microsoft.com/office/word/2010/wordml" w14:paraId="6A742A62" wp14:textId="77777777">
      <w:pPr>
        <w:pStyle w:val="Normal"/>
        <w:jc w:val="center"/>
        <w:rPr>
          <w:rFonts w:eastAsia="Arial Narrow" w:cs="Arial Narrow"/>
          <w:b/>
          <w:szCs w:val="24"/>
        </w:rPr>
      </w:pPr>
      <w:r>
        <w:rPr>
          <w:rFonts w:eastAsia="Arial Narrow" w:cs="Arial Narrow"/>
          <w:b/>
          <w:szCs w:val="24"/>
        </w:rPr>
        <w:t>Universidad de Medellín</w:t>
      </w:r>
    </w:p>
    <w:p xmlns:wp14="http://schemas.microsoft.com/office/word/2010/wordml" w14:paraId="5A39BBE3" wp14:textId="77777777">
      <w:pPr>
        <w:pStyle w:val="Normal"/>
        <w:jc w:val="center"/>
        <w:rPr>
          <w:rFonts w:eastAsia="Arial Narrow" w:cs="Arial Narrow"/>
          <w:b/>
          <w:szCs w:val="24"/>
        </w:rPr>
      </w:pPr>
      <w:r>
        <w:rPr>
          <w:rFonts w:eastAsia="Arial Narrow" w:cs="Arial Narrow"/>
          <w:b/>
          <w:szCs w:val="24"/>
        </w:rPr>
      </w:r>
    </w:p>
    <w:p xmlns:wp14="http://schemas.microsoft.com/office/word/2010/wordml" w14:paraId="17C8DE4C" wp14:textId="77777777">
      <w:pPr>
        <w:pStyle w:val="Normal"/>
        <w:jc w:val="center"/>
        <w:rPr>
          <w:rFonts w:eastAsia="Arial Narrow" w:cs="Arial Narrow"/>
          <w:b/>
          <w:szCs w:val="24"/>
        </w:rPr>
      </w:pPr>
      <w:r>
        <w:rPr>
          <w:rFonts w:eastAsia="Arial Narrow" w:cs="Arial Narrow"/>
          <w:b/>
          <w:szCs w:val="24"/>
        </w:rPr>
        <w:t>ENTIDADES ALIADAS:</w:t>
      </w:r>
    </w:p>
    <w:p xmlns:wp14="http://schemas.microsoft.com/office/word/2010/wordml" w14:paraId="714CF4E8" wp14:textId="77777777">
      <w:pPr>
        <w:pStyle w:val="Normal"/>
        <w:jc w:val="center"/>
        <w:rPr>
          <w:rFonts w:eastAsia="Arial Narrow" w:cs="Arial Narrow"/>
          <w:b/>
          <w:szCs w:val="24"/>
        </w:rPr>
      </w:pPr>
      <w:r>
        <w:rPr>
          <w:rFonts w:eastAsia="Arial Narrow" w:cs="Arial Narrow"/>
          <w:b/>
          <w:szCs w:val="24"/>
        </w:rPr>
        <w:t>Universidad Pontifica Bolivariana</w:t>
      </w:r>
    </w:p>
    <w:p xmlns:wp14="http://schemas.microsoft.com/office/word/2010/wordml" w14:paraId="41E619BF" wp14:textId="77777777">
      <w:pPr>
        <w:pStyle w:val="Normal"/>
        <w:jc w:val="center"/>
        <w:rPr>
          <w:rFonts w:eastAsia="Arial Narrow" w:cs="Arial Narrow"/>
          <w:b/>
          <w:szCs w:val="24"/>
        </w:rPr>
      </w:pPr>
      <w:r>
        <w:rPr>
          <w:rFonts w:eastAsia="Arial Narrow" w:cs="Arial Narrow"/>
          <w:b/>
          <w:szCs w:val="24"/>
        </w:rPr>
        <w:t>Universidad de Antioquia</w:t>
      </w:r>
    </w:p>
    <w:p xmlns:wp14="http://schemas.microsoft.com/office/word/2010/wordml" w14:paraId="60CE08E5" wp14:textId="77777777">
      <w:pPr>
        <w:pStyle w:val="Normal"/>
        <w:jc w:val="center"/>
        <w:rPr>
          <w:rFonts w:eastAsia="Arial Narrow" w:cs="Arial Narrow"/>
          <w:b/>
          <w:szCs w:val="24"/>
        </w:rPr>
      </w:pPr>
      <w:r>
        <w:rPr>
          <w:rFonts w:eastAsia="Arial Narrow" w:cs="Arial Narrow"/>
          <w:b/>
          <w:szCs w:val="24"/>
        </w:rPr>
        <w:t>Comité Colombiano del WEC</w:t>
      </w:r>
    </w:p>
    <w:p xmlns:wp14="http://schemas.microsoft.com/office/word/2010/wordml" w14:paraId="41C8F396" wp14:textId="77777777">
      <w:pPr>
        <w:pStyle w:val="Normal"/>
        <w:jc w:val="center"/>
        <w:rPr>
          <w:rFonts w:eastAsia="Arial Narrow" w:cs="Arial Narrow"/>
          <w:b/>
          <w:szCs w:val="24"/>
        </w:rPr>
      </w:pPr>
      <w:r>
        <w:rPr>
          <w:rFonts w:eastAsia="Arial Narrow" w:cs="Arial Narrow"/>
          <w:b/>
          <w:szCs w:val="24"/>
        </w:rPr>
      </w:r>
    </w:p>
    <w:p xmlns:wp14="http://schemas.microsoft.com/office/word/2010/wordml" w14:paraId="72A3D3EC" wp14:textId="77777777">
      <w:pPr>
        <w:pStyle w:val="Normal"/>
        <w:jc w:val="center"/>
        <w:rPr>
          <w:rFonts w:eastAsia="Arial Narrow" w:cs="Arial Narrow"/>
          <w:b/>
          <w:szCs w:val="24"/>
        </w:rPr>
      </w:pPr>
      <w:r>
        <w:rPr>
          <w:rFonts w:eastAsia="Arial Narrow" w:cs="Arial Narrow"/>
          <w:b/>
          <w:szCs w:val="24"/>
        </w:rPr>
      </w:r>
    </w:p>
    <w:p xmlns:wp14="http://schemas.microsoft.com/office/word/2010/wordml" w14:paraId="0D0B940D" wp14:textId="77777777">
      <w:pPr>
        <w:pStyle w:val="Normal"/>
        <w:jc w:val="center"/>
        <w:rPr>
          <w:rFonts w:eastAsia="Arial Narrow" w:cs="Arial Narrow"/>
          <w:b/>
          <w:szCs w:val="24"/>
        </w:rPr>
      </w:pPr>
      <w:r>
        <w:rPr>
          <w:rFonts w:eastAsia="Arial Narrow" w:cs="Arial Narrow"/>
          <w:b/>
          <w:szCs w:val="24"/>
        </w:rPr>
      </w:r>
    </w:p>
    <w:p xmlns:wp14="http://schemas.microsoft.com/office/word/2010/wordml" w14:paraId="0E27B00A" wp14:textId="77777777">
      <w:pPr>
        <w:pStyle w:val="Normal"/>
        <w:jc w:val="center"/>
        <w:rPr>
          <w:rFonts w:eastAsia="Arial Narrow" w:cs="Arial Narrow"/>
          <w:b/>
          <w:szCs w:val="24"/>
        </w:rPr>
      </w:pPr>
      <w:r>
        <w:rPr>
          <w:rFonts w:eastAsia="Arial Narrow" w:cs="Arial Narrow"/>
          <w:b/>
          <w:szCs w:val="24"/>
        </w:rPr>
      </w:r>
    </w:p>
    <w:p xmlns:wp14="http://schemas.microsoft.com/office/word/2010/wordml" w14:paraId="60061E4C" wp14:textId="77777777">
      <w:pPr>
        <w:pStyle w:val="Normal"/>
        <w:jc w:val="center"/>
        <w:rPr>
          <w:rFonts w:eastAsia="Arial Narrow" w:cs="Arial Narrow"/>
          <w:b/>
          <w:szCs w:val="24"/>
        </w:rPr>
      </w:pPr>
      <w:r>
        <w:rPr>
          <w:rFonts w:eastAsia="Arial Narrow" w:cs="Arial Narrow"/>
          <w:b/>
          <w:szCs w:val="24"/>
        </w:rPr>
      </w:r>
    </w:p>
    <w:p xmlns:wp14="http://schemas.microsoft.com/office/word/2010/wordml" w14:paraId="77BA1276" wp14:textId="77777777">
      <w:pPr>
        <w:pStyle w:val="Normal"/>
        <w:jc w:val="center"/>
        <w:rPr>
          <w:rFonts w:eastAsia="Arial Narrow" w:cs="Arial Narrow"/>
          <w:b/>
          <w:szCs w:val="24"/>
        </w:rPr>
      </w:pPr>
      <w:r>
        <w:rPr>
          <w:rFonts w:eastAsia="Arial Narrow" w:cs="Arial Narrow"/>
          <w:b/>
          <w:szCs w:val="24"/>
        </w:rPr>
        <w:t>ANEXOS TÉCNICOS OBJETIVO ESPECÍFICO 2</w:t>
      </w:r>
    </w:p>
    <w:p xmlns:wp14="http://schemas.microsoft.com/office/word/2010/wordml" w14:paraId="3973F7EF" wp14:textId="77777777">
      <w:pPr>
        <w:pStyle w:val="Normal"/>
        <w:jc w:val="center"/>
        <w:rPr>
          <w:rFonts w:eastAsia="Arial Narrow" w:cs="Arial Narrow"/>
          <w:b/>
          <w:szCs w:val="24"/>
        </w:rPr>
      </w:pPr>
      <w:bookmarkStart w:name="_Hlk207789727" w:id="0"/>
      <w:r>
        <w:rPr>
          <w:rFonts w:eastAsia="Arial Narrow" w:cs="Arial Narrow"/>
          <w:b/>
          <w:szCs w:val="24"/>
        </w:rPr>
        <w:t>Sistema modular de almacenamiento</w:t>
      </w:r>
      <w:bookmarkEnd w:id="0"/>
    </w:p>
    <w:p xmlns:wp14="http://schemas.microsoft.com/office/word/2010/wordml" w:rsidP="37F47B7A" w14:paraId="44EAFD9C" wp14:textId="77777777">
      <w:pPr>
        <w:pStyle w:val="Normal"/>
        <w:jc w:val="center"/>
        <w:rPr>
          <w:rFonts w:eastAsia="Arial Narrow" w:cs="Arial Narrow"/>
          <w:b w:val="1"/>
          <w:bCs w:val="1"/>
        </w:rPr>
      </w:pPr>
    </w:p>
    <w:p w:rsidR="37F47B7A" w:rsidP="37F47B7A" w:rsidRDefault="37F47B7A" w14:paraId="5A2C831C" w14:textId="0962CD99">
      <w:pPr>
        <w:pStyle w:val="Normal"/>
        <w:jc w:val="center"/>
        <w:rPr>
          <w:rFonts w:eastAsia="Arial Narrow" w:cs="Arial Narrow"/>
          <w:b w:val="1"/>
          <w:bCs w:val="1"/>
        </w:rPr>
      </w:pPr>
    </w:p>
    <w:p xmlns:wp14="http://schemas.microsoft.com/office/word/2010/wordml" w14:paraId="50EC3DCF" wp14:textId="77777777">
      <w:pPr>
        <w:pStyle w:val="Normal"/>
        <w:jc w:val="center"/>
        <w:rPr>
          <w:shd w:val="clear" w:fill="auto"/>
        </w:rPr>
      </w:pPr>
      <w:r w:rsidRPr="37F47B7A" w:rsidR="37F47B7A">
        <w:rPr>
          <w:rFonts w:eastAsia="Arial Narrow" w:cs="Arial Narrow"/>
          <w:b w:val="1"/>
          <w:bCs w:val="1"/>
          <w:shd w:val="clear" w:fill="auto"/>
        </w:rPr>
        <w:t xml:space="preserve">Medellín, </w:t>
      </w:r>
      <w:r w:rsidRPr="37F47B7A" w:rsidR="58A831C4">
        <w:rPr>
          <w:rFonts w:eastAsia="Arial Narrow" w:cs="Arial Narrow"/>
          <w:b w:val="1"/>
          <w:bCs w:val="1"/>
          <w:shd w:val="clear" w:fill="auto"/>
        </w:rPr>
        <w:t>noviembre</w:t>
      </w:r>
      <w:r w:rsidRPr="37F47B7A" w:rsidR="37F47B7A">
        <w:rPr>
          <w:rFonts w:eastAsia="Arial Narrow" w:cs="Arial Narrow"/>
          <w:b w:val="1"/>
          <w:bCs w:val="1"/>
          <w:shd w:val="clear" w:fill="auto"/>
        </w:rPr>
        <w:t xml:space="preserve"> de</w:t>
      </w:r>
      <w:r w:rsidRPr="37F47B7A" w:rsidR="37F47B7A">
        <w:rPr>
          <w:rFonts w:eastAsia="Arial Narrow" w:cs="Arial Narrow"/>
          <w:b w:val="1"/>
          <w:bCs w:val="1"/>
          <w:shd w:val="clear" w:fill="auto"/>
        </w:rPr>
        <w:t>l</w:t>
      </w:r>
      <w:r w:rsidRPr="37F47B7A" w:rsidR="37F47B7A">
        <w:rPr>
          <w:rFonts w:eastAsia="Arial Narrow" w:cs="Arial Narrow"/>
          <w:b w:val="1"/>
          <w:bCs w:val="1"/>
          <w:shd w:val="clear" w:fill="auto"/>
        </w:rPr>
        <w:t xml:space="preserve"> 2025</w:t>
      </w:r>
    </w:p>
    <w:p w:rsidR="37F47B7A" w:rsidP="37F47B7A" w:rsidRDefault="37F47B7A" w14:paraId="1B6793B5" w14:textId="689F28E6">
      <w:pPr>
        <w:pStyle w:val="Normal"/>
        <w:spacing w:before="0" w:after="160"/>
        <w:jc w:val="center"/>
        <w:rPr>
          <w:b w:val="1"/>
          <w:bCs w:val="1"/>
        </w:rPr>
      </w:pPr>
    </w:p>
    <w:p w:rsidR="37F47B7A" w:rsidP="37F47B7A" w:rsidRDefault="37F47B7A" w14:paraId="00CD89B9" w14:textId="25CCAFB3">
      <w:pPr>
        <w:pStyle w:val="Normal"/>
        <w:spacing w:before="0" w:after="160"/>
        <w:jc w:val="center"/>
        <w:rPr>
          <w:b w:val="1"/>
          <w:bCs w:val="1"/>
        </w:rPr>
      </w:pPr>
    </w:p>
    <w:p w:rsidR="37F47B7A" w:rsidP="37F47B7A" w:rsidRDefault="37F47B7A" w14:paraId="69DE0527" w14:textId="01D6D1AA">
      <w:pPr>
        <w:pStyle w:val="Normal"/>
        <w:spacing w:before="0" w:after="160"/>
        <w:jc w:val="center"/>
        <w:rPr>
          <w:b w:val="1"/>
          <w:bCs w:val="1"/>
        </w:rPr>
      </w:pPr>
    </w:p>
    <w:p xmlns:wp14="http://schemas.microsoft.com/office/word/2010/wordml" w14:paraId="7931593A" wp14:textId="77777777">
      <w:pPr>
        <w:pStyle w:val="Normal"/>
        <w:spacing w:before="0" w:after="160"/>
        <w:jc w:val="center"/>
        <w:rPr>
          <w:b/>
          <w:bCs/>
        </w:rPr>
      </w:pPr>
      <w:r>
        <w:rPr>
          <w:b/>
          <w:bCs/>
        </w:rPr>
        <w:t>TABLA DE CONTENIDO</w:t>
      </w:r>
    </w:p>
    <w:sdt>
      <w:sdtPr>
        <w:id w:val="111546918"/>
        <w:docPartObj>
          <w:docPartGallery w:val="Table of Contents"/>
          <w:docPartUnique/>
        </w:docPartObj>
      </w:sdtPr>
      <w:sdtContent>
        <w:p xmlns:wp14="http://schemas.microsoft.com/office/word/2010/wordml" w:rsidP="1044EAB6" w14:paraId="5D51F870" wp14:textId="77777777">
          <w:pPr>
            <w:pStyle w:val="TOC1"/>
            <w:tabs>
              <w:tab w:val="clear" w:pos="708"/>
              <w:tab w:val="left" w:leader="none" w:pos="480"/>
              <w:tab w:val="right" w:leader="dot" w:pos="8828"/>
            </w:tabs>
            <w:rPr>
              <w:rFonts w:ascii="Calibri" w:hAnsi="Calibri" w:eastAsia="" w:asciiTheme="minorAscii" w:hAnsiTheme="minorAscii" w:eastAsiaTheme="minorEastAsia"/>
              <w:kern w:val="2"/>
              <w:lang w:eastAsia="es-CO"/>
              <w14:ligatures w14:val="standardContextual"/>
            </w:rPr>
          </w:pPr>
        </w:p>
        <w:p xmlns:wp14="http://schemas.microsoft.com/office/word/2010/wordml" w:rsidP="1044EAB6" w14:paraId="4B94D5A5" wp14:textId="037AE267">
          <w:pPr>
            <w:pStyle w:val="TOC1"/>
            <w:tabs>
              <w:tab w:val="left" w:leader="none" w:pos="480"/>
              <w:tab w:val="right" w:leader="dot" w:pos="8820"/>
            </w:tabs>
            <w:rPr>
              <w:rStyle w:val="Hyperlink"/>
              <w:kern w:val="2"/>
              <w:lang w:eastAsia="es-CO"/>
              <w14:ligatures w14:val="standardContextual"/>
            </w:rPr>
          </w:pPr>
          <w:r>
            <w:fldChar w:fldCharType="begin"/>
          </w:r>
          <w:r>
            <w:instrText xml:space="preserve">TOC \o "1-3" \z \u \h</w:instrText>
          </w:r>
          <w:r>
            <w:fldChar w:fldCharType="separate"/>
          </w:r>
          <w:hyperlink w:anchor="_Toc1093806221">
            <w:r w:rsidRPr="442EAC12" w:rsidR="442EAC12">
              <w:rPr>
                <w:rStyle w:val="Hyperlink"/>
              </w:rPr>
              <w:t>2</w:t>
            </w:r>
            <w:r>
              <w:tab/>
            </w:r>
            <w:r w:rsidRPr="442EAC12" w:rsidR="442EAC12">
              <w:rPr>
                <w:rStyle w:val="Hyperlink"/>
              </w:rPr>
              <w:t>Desarrollo un sistema modular de almacenamiento y uso de hidrógeno blanco.</w:t>
            </w:r>
            <w:r>
              <w:tab/>
            </w:r>
            <w:r>
              <w:fldChar w:fldCharType="begin"/>
            </w:r>
            <w:r>
              <w:instrText xml:space="preserve">PAGEREF _Toc1093806221 \h</w:instrText>
            </w:r>
            <w:r>
              <w:fldChar w:fldCharType="separate"/>
            </w:r>
            <w:r w:rsidRPr="442EAC12" w:rsidR="442EAC12">
              <w:rPr>
                <w:rStyle w:val="Hyperlink"/>
              </w:rPr>
              <w:t>2</w:t>
            </w:r>
            <w:r>
              <w:fldChar w:fldCharType="end"/>
            </w:r>
          </w:hyperlink>
        </w:p>
        <w:p w:rsidR="1044EAB6" w:rsidP="1044EAB6" w:rsidRDefault="1044EAB6" w14:paraId="7FFE2B5F" w14:textId="56687576">
          <w:pPr>
            <w:pStyle w:val="TOC2"/>
            <w:tabs>
              <w:tab w:val="left" w:leader="none" w:pos="720"/>
              <w:tab w:val="right" w:leader="dot" w:pos="8820"/>
            </w:tabs>
            <w:rPr>
              <w:rStyle w:val="Hyperlink"/>
            </w:rPr>
          </w:pPr>
          <w:hyperlink w:anchor="_Toc1263683858">
            <w:r w:rsidRPr="442EAC12" w:rsidR="442EAC12">
              <w:rPr>
                <w:rStyle w:val="Hyperlink"/>
              </w:rPr>
              <w:t>2.1</w:t>
            </w:r>
            <w:r>
              <w:tab/>
            </w:r>
            <w:r w:rsidRPr="442EAC12" w:rsidR="442EAC12">
              <w:rPr>
                <w:rStyle w:val="Hyperlink"/>
              </w:rPr>
              <w:t>Resumen</w:t>
            </w:r>
            <w:r>
              <w:tab/>
            </w:r>
            <w:r>
              <w:fldChar w:fldCharType="begin"/>
            </w:r>
            <w:r>
              <w:instrText xml:space="preserve">PAGEREF _Toc1263683858 \h</w:instrText>
            </w:r>
            <w:r>
              <w:fldChar w:fldCharType="separate"/>
            </w:r>
            <w:r w:rsidRPr="442EAC12" w:rsidR="442EAC12">
              <w:rPr>
                <w:rStyle w:val="Hyperlink"/>
              </w:rPr>
              <w:t>2</w:t>
            </w:r>
            <w:r>
              <w:fldChar w:fldCharType="end"/>
            </w:r>
          </w:hyperlink>
        </w:p>
        <w:p w:rsidR="1044EAB6" w:rsidP="1044EAB6" w:rsidRDefault="1044EAB6" w14:paraId="354B8A95" w14:textId="4DB48430">
          <w:pPr>
            <w:pStyle w:val="TOC2"/>
            <w:tabs>
              <w:tab w:val="left" w:leader="none" w:pos="720"/>
              <w:tab w:val="right" w:leader="dot" w:pos="8820"/>
            </w:tabs>
            <w:rPr>
              <w:rStyle w:val="Hyperlink"/>
            </w:rPr>
          </w:pPr>
          <w:hyperlink w:anchor="_Toc780089401">
            <w:r w:rsidRPr="442EAC12" w:rsidR="442EAC12">
              <w:rPr>
                <w:rStyle w:val="Hyperlink"/>
              </w:rPr>
              <w:t>2.2</w:t>
            </w:r>
            <w:r>
              <w:tab/>
            </w:r>
            <w:r w:rsidRPr="442EAC12" w:rsidR="442EAC12">
              <w:rPr>
                <w:rStyle w:val="Hyperlink"/>
              </w:rPr>
              <w:t>Objetivo</w:t>
            </w:r>
            <w:r>
              <w:tab/>
            </w:r>
            <w:r>
              <w:fldChar w:fldCharType="begin"/>
            </w:r>
            <w:r>
              <w:instrText xml:space="preserve">PAGEREF _Toc780089401 \h</w:instrText>
            </w:r>
            <w:r>
              <w:fldChar w:fldCharType="separate"/>
            </w:r>
            <w:r w:rsidRPr="442EAC12" w:rsidR="442EAC12">
              <w:rPr>
                <w:rStyle w:val="Hyperlink"/>
              </w:rPr>
              <w:t>2</w:t>
            </w:r>
            <w:r>
              <w:fldChar w:fldCharType="end"/>
            </w:r>
          </w:hyperlink>
        </w:p>
        <w:p w:rsidR="1044EAB6" w:rsidP="1044EAB6" w:rsidRDefault="1044EAB6" w14:paraId="3A1DDFBE" w14:textId="4A378FEC">
          <w:pPr>
            <w:pStyle w:val="TOC2"/>
            <w:tabs>
              <w:tab w:val="left" w:leader="none" w:pos="720"/>
              <w:tab w:val="right" w:leader="dot" w:pos="8820"/>
            </w:tabs>
            <w:rPr>
              <w:rStyle w:val="Hyperlink"/>
            </w:rPr>
          </w:pPr>
          <w:hyperlink w:anchor="_Toc1687964438">
            <w:r w:rsidRPr="442EAC12" w:rsidR="442EAC12">
              <w:rPr>
                <w:rStyle w:val="Hyperlink"/>
              </w:rPr>
              <w:t>2.3</w:t>
            </w:r>
            <w:r>
              <w:tab/>
            </w:r>
            <w:r w:rsidRPr="442EAC12" w:rsidR="442EAC12">
              <w:rPr>
                <w:rStyle w:val="Hyperlink"/>
              </w:rPr>
              <w:t>Introducción</w:t>
            </w:r>
            <w:r>
              <w:tab/>
            </w:r>
            <w:r>
              <w:fldChar w:fldCharType="begin"/>
            </w:r>
            <w:r>
              <w:instrText xml:space="preserve">PAGEREF _Toc1687964438 \h</w:instrText>
            </w:r>
            <w:r>
              <w:fldChar w:fldCharType="separate"/>
            </w:r>
            <w:r w:rsidRPr="442EAC12" w:rsidR="442EAC12">
              <w:rPr>
                <w:rStyle w:val="Hyperlink"/>
              </w:rPr>
              <w:t>2</w:t>
            </w:r>
            <w:r>
              <w:fldChar w:fldCharType="end"/>
            </w:r>
          </w:hyperlink>
        </w:p>
        <w:p w:rsidR="1044EAB6" w:rsidP="1044EAB6" w:rsidRDefault="1044EAB6" w14:paraId="2265F394" w14:textId="212B682C">
          <w:pPr>
            <w:pStyle w:val="TOC2"/>
            <w:tabs>
              <w:tab w:val="left" w:leader="none" w:pos="720"/>
              <w:tab w:val="right" w:leader="dot" w:pos="8820"/>
            </w:tabs>
            <w:rPr>
              <w:rStyle w:val="Hyperlink"/>
            </w:rPr>
          </w:pPr>
          <w:hyperlink w:anchor="_Toc274159319">
            <w:r w:rsidRPr="442EAC12" w:rsidR="442EAC12">
              <w:rPr>
                <w:rStyle w:val="Hyperlink"/>
              </w:rPr>
              <w:t>2.4</w:t>
            </w:r>
            <w:r>
              <w:tab/>
            </w:r>
            <w:r w:rsidRPr="442EAC12" w:rsidR="442EAC12">
              <w:rPr>
                <w:rStyle w:val="Hyperlink"/>
              </w:rPr>
              <w:t>Gestión Térmica</w:t>
            </w:r>
            <w:r>
              <w:tab/>
            </w:r>
            <w:r>
              <w:fldChar w:fldCharType="begin"/>
            </w:r>
            <w:r>
              <w:instrText xml:space="preserve">PAGEREF _Toc274159319 \h</w:instrText>
            </w:r>
            <w:r>
              <w:fldChar w:fldCharType="separate"/>
            </w:r>
            <w:r w:rsidRPr="442EAC12" w:rsidR="442EAC12">
              <w:rPr>
                <w:rStyle w:val="Hyperlink"/>
              </w:rPr>
              <w:t>4</w:t>
            </w:r>
            <w:r>
              <w:fldChar w:fldCharType="end"/>
            </w:r>
          </w:hyperlink>
        </w:p>
        <w:p w:rsidR="1044EAB6" w:rsidP="1044EAB6" w:rsidRDefault="1044EAB6" w14:paraId="39CFA24B" w14:textId="07E15931">
          <w:pPr>
            <w:pStyle w:val="TOC2"/>
            <w:tabs>
              <w:tab w:val="left" w:leader="none" w:pos="720"/>
              <w:tab w:val="right" w:leader="dot" w:pos="8820"/>
            </w:tabs>
            <w:rPr>
              <w:rStyle w:val="Hyperlink"/>
            </w:rPr>
          </w:pPr>
          <w:hyperlink w:anchor="_Toc481549353">
            <w:r w:rsidRPr="442EAC12" w:rsidR="442EAC12">
              <w:rPr>
                <w:rStyle w:val="Hyperlink"/>
              </w:rPr>
              <w:t>2.5</w:t>
            </w:r>
            <w:r>
              <w:tab/>
            </w:r>
            <w:r w:rsidRPr="442EAC12" w:rsidR="442EAC12">
              <w:rPr>
                <w:rStyle w:val="Hyperlink"/>
              </w:rPr>
              <w:t>Gestión de calor en Reactores de hidruros metálicos (MHR)</w:t>
            </w:r>
            <w:r>
              <w:tab/>
            </w:r>
            <w:r>
              <w:fldChar w:fldCharType="begin"/>
            </w:r>
            <w:r>
              <w:instrText xml:space="preserve">PAGEREF _Toc481549353 \h</w:instrText>
            </w:r>
            <w:r>
              <w:fldChar w:fldCharType="separate"/>
            </w:r>
            <w:r w:rsidRPr="442EAC12" w:rsidR="442EAC12">
              <w:rPr>
                <w:rStyle w:val="Hyperlink"/>
              </w:rPr>
              <w:t>7</w:t>
            </w:r>
            <w:r>
              <w:fldChar w:fldCharType="end"/>
            </w:r>
          </w:hyperlink>
        </w:p>
        <w:p w:rsidR="1044EAB6" w:rsidP="442EAC12" w:rsidRDefault="1044EAB6" w14:paraId="660BD25A" w14:textId="2ABBD5DF">
          <w:pPr>
            <w:pStyle w:val="TOC2"/>
            <w:tabs>
              <w:tab w:val="left" w:leader="none" w:pos="720"/>
              <w:tab w:val="right" w:leader="dot" w:pos="8820"/>
            </w:tabs>
            <w:rPr>
              <w:rStyle w:val="Hyperlink"/>
            </w:rPr>
          </w:pPr>
          <w:hyperlink w:anchor="_Toc1510326969">
            <w:r w:rsidRPr="442EAC12" w:rsidR="442EAC12">
              <w:rPr>
                <w:rStyle w:val="Hyperlink"/>
              </w:rPr>
              <w:t>2.6</w:t>
            </w:r>
            <w:r>
              <w:tab/>
            </w:r>
            <w:r w:rsidRPr="442EAC12" w:rsidR="442EAC12">
              <w:rPr>
                <w:rStyle w:val="Hyperlink"/>
              </w:rPr>
              <w:t>Aplicaciones reactores de hidruro metálico (MHR)</w:t>
            </w:r>
            <w:r>
              <w:tab/>
            </w:r>
            <w:r>
              <w:fldChar w:fldCharType="begin"/>
            </w:r>
            <w:r>
              <w:instrText xml:space="preserve">PAGEREF _Toc1510326969 \h</w:instrText>
            </w:r>
            <w:r>
              <w:fldChar w:fldCharType="separate"/>
            </w:r>
            <w:r w:rsidRPr="442EAC12" w:rsidR="442EAC12">
              <w:rPr>
                <w:rStyle w:val="Hyperlink"/>
              </w:rPr>
              <w:t>8</w:t>
            </w:r>
            <w:r>
              <w:fldChar w:fldCharType="end"/>
            </w:r>
          </w:hyperlink>
        </w:p>
        <w:p w:rsidR="1044EAB6" w:rsidP="442EAC12" w:rsidRDefault="1044EAB6" w14:paraId="5E3D64D3" w14:textId="29C204F6">
          <w:pPr>
            <w:pStyle w:val="TOC2"/>
            <w:tabs>
              <w:tab w:val="left" w:leader="none" w:pos="720"/>
              <w:tab w:val="right" w:leader="dot" w:pos="8820"/>
            </w:tabs>
            <w:rPr>
              <w:rStyle w:val="Hyperlink"/>
            </w:rPr>
          </w:pPr>
          <w:hyperlink w:anchor="_Toc307587850">
            <w:r w:rsidRPr="442EAC12" w:rsidR="442EAC12">
              <w:rPr>
                <w:rStyle w:val="Hyperlink"/>
              </w:rPr>
              <w:t>2.7</w:t>
            </w:r>
            <w:r>
              <w:tab/>
            </w:r>
            <w:r w:rsidRPr="442EAC12" w:rsidR="442EAC12">
              <w:rPr>
                <w:rStyle w:val="Hyperlink"/>
              </w:rPr>
              <w:t>Análisis y Recomendaciones</w:t>
            </w:r>
            <w:r>
              <w:tab/>
            </w:r>
            <w:r>
              <w:fldChar w:fldCharType="begin"/>
            </w:r>
            <w:r>
              <w:instrText xml:space="preserve">PAGEREF _Toc307587850 \h</w:instrText>
            </w:r>
            <w:r>
              <w:fldChar w:fldCharType="separate"/>
            </w:r>
            <w:r w:rsidRPr="442EAC12" w:rsidR="442EAC12">
              <w:rPr>
                <w:rStyle w:val="Hyperlink"/>
              </w:rPr>
              <w:t>12</w:t>
            </w:r>
            <w:r>
              <w:fldChar w:fldCharType="end"/>
            </w:r>
          </w:hyperlink>
        </w:p>
        <w:p w:rsidR="1044EAB6" w:rsidP="1044EAB6" w:rsidRDefault="1044EAB6" w14:paraId="633F5C06" w14:textId="07C9813C">
          <w:pPr>
            <w:pStyle w:val="TOC2"/>
            <w:tabs>
              <w:tab w:val="left" w:leader="none" w:pos="720"/>
              <w:tab w:val="right" w:leader="dot" w:pos="8820"/>
            </w:tabs>
            <w:rPr>
              <w:rStyle w:val="Hyperlink"/>
            </w:rPr>
          </w:pPr>
          <w:hyperlink w:anchor="_Toc538069664">
            <w:r w:rsidRPr="442EAC12" w:rsidR="442EAC12">
              <w:rPr>
                <w:rStyle w:val="Hyperlink"/>
              </w:rPr>
              <w:t>2.8</w:t>
            </w:r>
            <w:r>
              <w:tab/>
            </w:r>
            <w:r w:rsidRPr="442EAC12" w:rsidR="442EAC12">
              <w:rPr>
                <w:rStyle w:val="Hyperlink"/>
              </w:rPr>
              <w:t>Cronograma,</w:t>
            </w:r>
            <w:r>
              <w:tab/>
            </w:r>
            <w:r>
              <w:fldChar w:fldCharType="begin"/>
            </w:r>
            <w:r>
              <w:instrText xml:space="preserve">PAGEREF _Toc538069664 \h</w:instrText>
            </w:r>
            <w:r>
              <w:fldChar w:fldCharType="separate"/>
            </w:r>
            <w:r w:rsidRPr="442EAC12" w:rsidR="442EAC12">
              <w:rPr>
                <w:rStyle w:val="Hyperlink"/>
              </w:rPr>
              <w:t>12</w:t>
            </w:r>
            <w:r>
              <w:fldChar w:fldCharType="end"/>
            </w:r>
          </w:hyperlink>
        </w:p>
        <w:p w:rsidR="1044EAB6" w:rsidP="442EAC12" w:rsidRDefault="1044EAB6" w14:paraId="64EFB65D" w14:textId="3ED0AEA4">
          <w:pPr>
            <w:pStyle w:val="TOC2"/>
            <w:tabs>
              <w:tab w:val="left" w:leader="none" w:pos="720"/>
              <w:tab w:val="right" w:leader="dot" w:pos="8820"/>
            </w:tabs>
            <w:rPr>
              <w:rStyle w:val="Hyperlink"/>
            </w:rPr>
          </w:pPr>
          <w:hyperlink w:anchor="_Toc1813978061">
            <w:r w:rsidRPr="442EAC12" w:rsidR="442EAC12">
              <w:rPr>
                <w:rStyle w:val="Hyperlink"/>
              </w:rPr>
              <w:t>2.9</w:t>
            </w:r>
            <w:r>
              <w:tab/>
            </w:r>
            <w:r w:rsidRPr="442EAC12" w:rsidR="442EAC12">
              <w:rPr>
                <w:rStyle w:val="Hyperlink"/>
              </w:rPr>
              <w:t>Referencias</w:t>
            </w:r>
            <w:r>
              <w:tab/>
            </w:r>
            <w:r>
              <w:fldChar w:fldCharType="begin"/>
            </w:r>
            <w:r>
              <w:instrText xml:space="preserve">PAGEREF _Toc1813978061 \h</w:instrText>
            </w:r>
            <w:r>
              <w:fldChar w:fldCharType="separate"/>
            </w:r>
            <w:r w:rsidRPr="442EAC12" w:rsidR="442EAC12">
              <w:rPr>
                <w:rStyle w:val="Hyperlink"/>
              </w:rPr>
              <w:t>12</w:t>
            </w:r>
            <w:r>
              <w:fldChar w:fldCharType="end"/>
            </w:r>
          </w:hyperlink>
        </w:p>
        <w:p w:rsidR="1044EAB6" w:rsidP="442EAC12" w:rsidRDefault="1044EAB6" w14:paraId="1FD085CF" w14:textId="563503B8">
          <w:pPr>
            <w:pStyle w:val="TOC2"/>
            <w:tabs>
              <w:tab w:val="left" w:leader="none" w:pos="720"/>
              <w:tab w:val="right" w:leader="dot" w:pos="8820"/>
            </w:tabs>
            <w:rPr>
              <w:rStyle w:val="Hyperlink"/>
            </w:rPr>
          </w:pPr>
          <w:hyperlink w:anchor="_Toc960451773">
            <w:r w:rsidRPr="442EAC12" w:rsidR="442EAC12">
              <w:rPr>
                <w:rStyle w:val="Hyperlink"/>
              </w:rPr>
              <w:t>2.10</w:t>
            </w:r>
            <w:r>
              <w:tab/>
            </w:r>
            <w:r w:rsidRPr="442EAC12" w:rsidR="442EAC12">
              <w:rPr>
                <w:rStyle w:val="Hyperlink"/>
              </w:rPr>
              <w:t>Anexos</w:t>
            </w:r>
            <w:r>
              <w:tab/>
            </w:r>
            <w:r>
              <w:fldChar w:fldCharType="begin"/>
            </w:r>
            <w:r>
              <w:instrText xml:space="preserve">PAGEREF _Toc960451773 \h</w:instrText>
            </w:r>
            <w:r>
              <w:fldChar w:fldCharType="separate"/>
            </w:r>
            <w:r w:rsidRPr="442EAC12" w:rsidR="442EAC12">
              <w:rPr>
                <w:rStyle w:val="Hyperlink"/>
              </w:rPr>
              <w:t>14</w:t>
            </w:r>
            <w:r>
              <w:fldChar w:fldCharType="end"/>
            </w:r>
          </w:hyperlink>
          <w:r>
            <w:fldChar w:fldCharType="end"/>
          </w:r>
        </w:p>
      </w:sdtContent>
    </w:sdt>
    <w:p xmlns:wp14="http://schemas.microsoft.com/office/word/2010/wordml" w14:paraId="2B187D4C" wp14:textId="0D0181D5">
      <w:pPr>
        <w:pStyle w:val="Heading1"/>
        <w:spacing w:before="0" w:after="0"/>
        <w:rPr/>
      </w:pPr>
      <w:bookmarkStart w:name="_Toc207791223" w:id="1"/>
      <w:commentRangeStart w:id="1053580471"/>
      <w:bookmarkStart w:name="_Toc1093806221" w:id="56601522"/>
      <w:r w:rsidR="37F47B7A">
        <w:rPr/>
        <w:t>Desarroll</w:t>
      </w:r>
      <w:r w:rsidR="516FDB47">
        <w:rPr/>
        <w:t>o</w:t>
      </w:r>
      <w:r w:rsidR="37F47B7A">
        <w:rPr/>
        <w:t xml:space="preserve"> un sistema modular de almacenamiento y uso de hidrógeno blanco.</w:t>
      </w:r>
      <w:bookmarkEnd w:id="1"/>
      <w:commentRangeEnd w:id="1053580471"/>
      <w:r>
        <w:rPr>
          <w:rStyle w:val="CommentReference"/>
        </w:rPr>
        <w:commentReference w:id="1053580471"/>
      </w:r>
      <w:bookmarkEnd w:id="56601522"/>
    </w:p>
    <w:p xmlns:wp14="http://schemas.microsoft.com/office/word/2010/wordml" w14:paraId="6D2BACD1" wp14:textId="77777777">
      <w:pPr>
        <w:pStyle w:val="Heading2"/>
        <w:ind w:left="1284" w:hanging="576"/>
        <w:rPr/>
      </w:pPr>
      <w:bookmarkStart w:name="_Toc207791224" w:id="2"/>
      <w:bookmarkStart w:name="_Toc1263683858" w:id="2038422626"/>
      <w:r w:rsidR="37F47B7A">
        <w:rPr/>
        <w:t>Resumen</w:t>
      </w:r>
      <w:bookmarkEnd w:id="2"/>
      <w:bookmarkEnd w:id="2038422626"/>
    </w:p>
    <w:p w:rsidR="09B34472" w:rsidP="442EAC12" w:rsidRDefault="09B34472" w14:paraId="7E318B20" w14:textId="6977A606">
      <w:pPr>
        <w:pStyle w:val="Normal"/>
      </w:pPr>
      <w:r w:rsidR="09B34472">
        <w:rPr/>
        <w:t xml:space="preserve">Este informe presenta un análisis del diseño de reactores de hidruro metálico (MH) para el almacenamiento de hidrógeno. Se aborda el desafío fundamental de la gestión térmica, analizando estrategias pasivas y activas. A través de la revisión de literatura clave y patentes recientes, se establece que mientras las aplicaciones móviles priorizan la densidad energética, las estacionarias exigen modularidad y fiabilidad. Se identifican barreras críticas de escalado como la </w:t>
      </w:r>
      <w:r w:rsidR="09B34472">
        <w:rPr/>
        <w:t>auto densificación</w:t>
      </w:r>
      <w:r w:rsidR="09B34472">
        <w:rPr/>
        <w:t xml:space="preserve"> y se concluye que la viabilidad comercial de sistemas a gran escala depende no solo de la arquitectura modular, sino de su integración con sistemas de control inteligente y estrategias de operación dinámica para garantizar la durabilidad.</w:t>
      </w:r>
    </w:p>
    <w:p xmlns:wp14="http://schemas.microsoft.com/office/word/2010/wordml" w14:paraId="652ADDA2" wp14:textId="77777777">
      <w:pPr>
        <w:pStyle w:val="Heading2"/>
        <w:ind w:left="1284" w:hanging="576"/>
        <w:rPr/>
      </w:pPr>
      <w:bookmarkStart w:name="_Toc207791225" w:id="3"/>
      <w:bookmarkStart w:name="_Toc780089401" w:id="1102852653"/>
      <w:r w:rsidR="37F47B7A">
        <w:rPr/>
        <w:t>Objetivo</w:t>
      </w:r>
      <w:bookmarkEnd w:id="3"/>
      <w:bookmarkEnd w:id="1102852653"/>
    </w:p>
    <w:p w:rsidR="20CD0109" w:rsidP="442EAC12" w:rsidRDefault="20CD0109" w14:paraId="0BA69A02" w14:textId="4F7DBA86">
      <w:pPr>
        <w:pStyle w:val="Normal"/>
      </w:pPr>
      <w:r w:rsidR="20CD0109">
        <w:rPr/>
        <w:t>I</w:t>
      </w:r>
      <w:r w:rsidR="5417060B">
        <w:rPr/>
        <w:t>dentificar los desafíos clave</w:t>
      </w:r>
      <w:r w:rsidR="63DEF18B">
        <w:rPr/>
        <w:t xml:space="preserve">, </w:t>
      </w:r>
      <w:r w:rsidR="63DEF18B">
        <w:rPr/>
        <w:t>las tecnologías de gestión térmica y arquitecturas de reactores de hidruro metálico para definir los criterios de diseño de un sistema modular de almacenamiento de hidrogeno blanco.</w:t>
      </w:r>
    </w:p>
    <w:p xmlns:wp14="http://schemas.microsoft.com/office/word/2010/wordml" w:rsidP="37F47B7A" w14:paraId="76F88CC6" wp14:textId="204E25DE">
      <w:pPr>
        <w:pStyle w:val="Heading2"/>
        <w:ind w:left="1284" w:hanging="576"/>
        <w:rPr>
          <w:highlight w:val="yellow"/>
        </w:rPr>
      </w:pPr>
      <w:bookmarkStart w:name="_Toc207791226" w:id="4"/>
      <w:commentRangeStart w:id="872609407"/>
      <w:bookmarkStart w:name="_Toc1687964438" w:id="280184172"/>
      <w:r w:rsidR="37F47B7A">
        <w:rPr/>
        <w:t>Introducción</w:t>
      </w:r>
      <w:bookmarkEnd w:id="4"/>
      <w:commentRangeEnd w:id="872609407"/>
      <w:r>
        <w:rPr>
          <w:rStyle w:val="CommentReference"/>
        </w:rPr>
        <w:commentReference w:id="872609407"/>
      </w:r>
      <w:bookmarkEnd w:id="280184172"/>
    </w:p>
    <w:p w:rsidR="0827D275" w:rsidP="442EAC12" w:rsidRDefault="0827D275" w14:paraId="79DBF57F" w14:textId="7B40EA06">
      <w:pPr>
        <w:pStyle w:val="Normal"/>
      </w:pPr>
      <w:r w:rsidR="0827D275">
        <w:rPr/>
        <w:t>El hidrógeno (H₂) es un vector energético clave para la descarbonización, y los hidruros metálicos (MH) ofrecen una solución de almacenamiento segura y con alta densidad volumétrica. Sin embargo, su viabilidad comercial depende de resolver un desafío fundamental: la gestión térmica. La reacción de almacenamiento (absorción) es fuertemente exotérmica, mientras que la liberación (desorción) es endotérmica. Este ciclo termodinámico, combinado con la baja conductividad del lecho de hidruro (0.1-1.5 W/m·K), crea cuellos de botella que limitan la velocidad y eficiencia del sistema. [1] Para superar esto, se han desarrollado dos enfoques principales: mejoras pasivas y gestión activa. La elección de la estrategia óptima depende de la aplicación final, existiendo una clara bifurcación: las aplicaciones móviles priorizan la cinética y la densidad energética en diseños compactos, mientras que las aplicaciones estacionarias favorecen la modularidad y la escalabilidad para garantizar la fiabilidad y un costo operativo competitivo.</w:t>
      </w:r>
    </w:p>
    <w:p w:rsidR="3A8FEDCC" w:rsidP="442EAC12" w:rsidRDefault="3A8FEDCC" w14:paraId="711E52D2" w14:textId="0A27A2EA">
      <w:pPr>
        <w:pStyle w:val="Normal"/>
        <w:rPr>
          <w:noProof w:val="0"/>
          <w:lang w:val="es-CO"/>
        </w:rPr>
      </w:pPr>
      <w:r w:rsidRPr="442EAC12" w:rsidR="3A8FEDCC">
        <w:rPr>
          <w:noProof w:val="0"/>
          <w:lang w:val="es-CO"/>
        </w:rPr>
        <w:t xml:space="preserve">Como lo evidenciamos con </w:t>
      </w:r>
      <w:r w:rsidRPr="442EAC12" w:rsidR="0827D275">
        <w:rPr>
          <w:noProof w:val="0"/>
          <w:lang w:val="es-CO"/>
        </w:rPr>
        <w:t xml:space="preserve">el diseño de sistemas estacionarios, donde </w:t>
      </w:r>
      <w:r w:rsidRPr="442EAC12" w:rsidR="0827D275">
        <w:rPr>
          <w:noProof w:val="0"/>
          <w:lang w:val="es-CO"/>
        </w:rPr>
        <w:t>la modularidad</w:t>
      </w:r>
      <w:r w:rsidRPr="442EAC12" w:rsidR="0827D275">
        <w:rPr>
          <w:noProof w:val="0"/>
          <w:lang w:val="es-CO"/>
        </w:rPr>
        <w:t xml:space="preserve"> </w:t>
      </w:r>
      <w:r w:rsidRPr="442EAC12" w:rsidR="06454857">
        <w:rPr>
          <w:noProof w:val="0"/>
          <w:lang w:val="es-CO"/>
        </w:rPr>
        <w:t xml:space="preserve">genera ventajas en el </w:t>
      </w:r>
      <w:r w:rsidRPr="442EAC12" w:rsidR="0827D275">
        <w:rPr>
          <w:noProof w:val="0"/>
          <w:lang w:val="es-CO"/>
        </w:rPr>
        <w:t xml:space="preserve">diseño </w:t>
      </w:r>
      <w:r w:rsidRPr="442EAC12" w:rsidR="7BD8D2B8">
        <w:rPr>
          <w:noProof w:val="0"/>
          <w:lang w:val="es-CO"/>
        </w:rPr>
        <w:t>para</w:t>
      </w:r>
      <w:r w:rsidRPr="442EAC12" w:rsidR="0827D275">
        <w:rPr>
          <w:noProof w:val="0"/>
          <w:lang w:val="es-CO"/>
        </w:rPr>
        <w:t xml:space="preserve"> sistema de energía de hidrógeno </w:t>
      </w:r>
      <w:r w:rsidRPr="442EAC12" w:rsidR="4E5D4CEC">
        <w:rPr>
          <w:noProof w:val="0"/>
          <w:lang w:val="es-CO"/>
        </w:rPr>
        <w:t>de</w:t>
      </w:r>
      <w:r w:rsidRPr="442EAC12" w:rsidR="0827D275">
        <w:rPr>
          <w:noProof w:val="0"/>
          <w:lang w:val="es-CO"/>
        </w:rPr>
        <w:t xml:space="preserve"> "Edificio de Emisiones Cero" (ZEB) desarrollado por Endo et al. (2019). En este caso, todo el sistema conformado por electrolizador, tanques de hidruro y pila de combustible está integrado de forma modular dentro de un contenedor estándar de 12 pies, facilitando su instalación y reubicación en entornos urbanos. Se optó por una aleación de hidruro de tipo AB a base de </w:t>
      </w:r>
      <w:r w:rsidRPr="442EAC12" w:rsidR="0827D275">
        <w:rPr>
          <w:noProof w:val="0"/>
          <w:lang w:val="es-CO"/>
        </w:rPr>
        <w:t>TiFe</w:t>
      </w:r>
      <w:r w:rsidRPr="442EAC12" w:rsidR="0827D275">
        <w:rPr>
          <w:noProof w:val="0"/>
          <w:lang w:val="es-CO"/>
        </w:rPr>
        <w:t xml:space="preserve"> con una masa total de 520 kg, capaz de almacenar 80 Nm³ de hidrógeno con una capacidad efectiva del 1.4 </w:t>
      </w:r>
      <w:r w:rsidRPr="442EAC12" w:rsidR="0827D275">
        <w:rPr>
          <w:noProof w:val="0"/>
          <w:lang w:val="es-CO"/>
        </w:rPr>
        <w:t>wt</w:t>
      </w:r>
      <w:r w:rsidRPr="442EAC12" w:rsidR="0827D275">
        <w:rPr>
          <w:noProof w:val="0"/>
          <w:lang w:val="es-CO"/>
        </w:rPr>
        <w:t xml:space="preserve">%. La elección de este material es clave no solo por su bajo costo, sino porque no está clasificado como material peligroso bajo las regulaciones japonesas, un factor crítico para la seguridad en edificios. La figura 1 </w:t>
      </w:r>
      <w:r w:rsidRPr="442EAC12" w:rsidR="12F46CC4">
        <w:rPr>
          <w:noProof w:val="0"/>
          <w:lang w:val="es-CO"/>
        </w:rPr>
        <w:t xml:space="preserve">muestra la configuración física de este almacenamiento, donde se implementó una estrategia híbrida dividiendo los 520 kg de aleación en dos subsistemas de 260 kg cada uno: el "MH </w:t>
      </w:r>
      <w:r w:rsidRPr="442EAC12" w:rsidR="12F46CC4">
        <w:rPr>
          <w:noProof w:val="0"/>
          <w:lang w:val="es-CO"/>
        </w:rPr>
        <w:t>tank</w:t>
      </w:r>
      <w:r w:rsidRPr="442EAC12" w:rsidR="12F46CC4">
        <w:rPr>
          <w:noProof w:val="0"/>
          <w:lang w:val="es-CO"/>
        </w:rPr>
        <w:t xml:space="preserve"> 1", compuesto por cuatro recipientes de 65 kg, diseñado para maximizar la transferencia de calor y permitir altos flujos de hidrógeno; y el "MH </w:t>
      </w:r>
      <w:r w:rsidRPr="442EAC12" w:rsidR="12F46CC4">
        <w:rPr>
          <w:noProof w:val="0"/>
          <w:lang w:val="es-CO"/>
        </w:rPr>
        <w:t>tank</w:t>
      </w:r>
      <w:r w:rsidRPr="442EAC12" w:rsidR="12F46CC4">
        <w:rPr>
          <w:noProof w:val="0"/>
          <w:lang w:val="es-CO"/>
        </w:rPr>
        <w:t xml:space="preserve"> 2", un único recipiente de 260 kg, optimizado para reducir el volumen y el costo de fabricación, destinado a operaciones de baja demanda de flujo.</w:t>
      </w:r>
      <w:r w:rsidRPr="442EAC12" w:rsidR="0827D275">
        <w:rPr>
          <w:noProof w:val="0"/>
          <w:lang w:val="es-CO"/>
        </w:rPr>
        <w:t xml:space="preserve"> [2]</w:t>
      </w:r>
    </w:p>
    <w:p w:rsidR="37AAC77E" w:rsidP="442EAC12" w:rsidRDefault="37AAC77E" w14:paraId="7D8DEDF4" w14:textId="7F69C464">
      <w:pPr>
        <w:spacing w:before="240" w:beforeAutospacing="off" w:after="159" w:afterAutospacing="off" w:line="240" w:lineRule="auto"/>
        <w:jc w:val="center"/>
        <w:rPr>
          <w:rFonts w:ascii="Arial Narrow" w:hAnsi="Arial Narrow" w:eastAsia="Arial Narrow" w:cs="Arial Narrow"/>
          <w:noProof w:val="0"/>
          <w:color w:val="000000" w:themeColor="text1" w:themeTint="FF" w:themeShade="FF"/>
          <w:sz w:val="24"/>
          <w:szCs w:val="24"/>
          <w:lang w:val="es-CO"/>
        </w:rPr>
      </w:pPr>
      <w:r w:rsidR="37AAC77E">
        <w:drawing>
          <wp:inline wp14:editId="72F8F654" wp14:anchorId="25553521">
            <wp:extent cx="2705100" cy="1687339"/>
            <wp:effectExtent l="0" t="0" r="0" b="0"/>
            <wp:docPr id="1620255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0255726" name="Picture 1620255726"/>
                    <pic:cNvPicPr/>
                  </pic:nvPicPr>
                  <pic:blipFill>
                    <a:blip xmlns:r="http://schemas.openxmlformats.org/officeDocument/2006/relationships" r:embed="rId1008243521">
                      <a:extLst>
                        <a:ext uri="{28A0092B-C50C-407E-A947-70E740481C1C}">
                          <a14:useLocalDpi xmlns:a14="http://schemas.microsoft.com/office/drawing/2010/main"/>
                        </a:ext>
                      </a:extLst>
                    </a:blip>
                    <a:stretch>
                      <a:fillRect/>
                    </a:stretch>
                  </pic:blipFill>
                  <pic:spPr>
                    <a:xfrm rot="0">
                      <a:off x="0" y="0"/>
                      <a:ext cx="2705100" cy="1687339"/>
                    </a:xfrm>
                    <a:prstGeom prst="rect">
                      <a:avLst/>
                    </a:prstGeom>
                  </pic:spPr>
                </pic:pic>
              </a:graphicData>
            </a:graphic>
          </wp:inline>
        </w:drawing>
      </w:r>
    </w:p>
    <w:p w:rsidR="37AAC77E" w:rsidP="442EAC12" w:rsidRDefault="37AAC77E" w14:paraId="195788B6" w14:textId="7B7430DA">
      <w:pPr>
        <w:spacing w:before="119" w:beforeAutospacing="off" w:after="119" w:afterAutospacing="off" w:line="240" w:lineRule="auto"/>
        <w:jc w:val="both"/>
      </w:pPr>
      <w:r w:rsidRPr="442EAC12" w:rsidR="37AAC77E">
        <w:rPr>
          <w:rFonts w:ascii="Arial Narrow" w:hAnsi="Arial Narrow" w:eastAsia="Arial Narrow" w:cs="Arial Narrow"/>
          <w:i w:val="1"/>
          <w:iCs w:val="1"/>
          <w:noProof w:val="0"/>
          <w:color w:val="000000" w:themeColor="text1" w:themeTint="FF" w:themeShade="FF"/>
          <w:sz w:val="24"/>
          <w:szCs w:val="24"/>
          <w:lang w:val="es-CO"/>
        </w:rPr>
        <w:t xml:space="preserve">Figura </w:t>
      </w:r>
      <w:r>
        <w:tab/>
      </w:r>
      <w:r w:rsidRPr="442EAC12" w:rsidR="37AAC77E">
        <w:rPr>
          <w:rFonts w:ascii="Arial Narrow" w:hAnsi="Arial Narrow" w:eastAsia="Arial Narrow" w:cs="Arial Narrow"/>
          <w:i w:val="1"/>
          <w:iCs w:val="1"/>
          <w:noProof w:val="0"/>
          <w:color w:val="000000" w:themeColor="text1" w:themeTint="FF" w:themeShade="FF"/>
          <w:sz w:val="24"/>
          <w:szCs w:val="24"/>
          <w:lang w:val="es-CO"/>
        </w:rPr>
        <w:t xml:space="preserve">1: configuración física reactores hidruro de tipo AB a base de </w:t>
      </w:r>
      <w:r>
        <w:tab/>
      </w:r>
      <w:r w:rsidRPr="442EAC12" w:rsidR="37AAC77E">
        <w:rPr>
          <w:rFonts w:ascii="Arial Narrow" w:hAnsi="Arial Narrow" w:eastAsia="Arial Narrow" w:cs="Arial Narrow"/>
          <w:i w:val="1"/>
          <w:iCs w:val="1"/>
          <w:noProof w:val="0"/>
          <w:color w:val="000000" w:themeColor="text1" w:themeTint="FF" w:themeShade="FF"/>
          <w:sz w:val="24"/>
          <w:szCs w:val="24"/>
          <w:lang w:val="es-CO"/>
        </w:rPr>
        <w:t>TiFe</w:t>
      </w:r>
      <w:r w:rsidRPr="442EAC12" w:rsidR="37AAC77E">
        <w:rPr>
          <w:rFonts w:ascii="Arial Narrow" w:hAnsi="Arial Narrow" w:eastAsia="Arial Narrow" w:cs="Arial Narrow"/>
          <w:i w:val="1"/>
          <w:iCs w:val="1"/>
          <w:noProof w:val="0"/>
          <w:color w:val="000000" w:themeColor="text1" w:themeTint="FF" w:themeShade="FF"/>
          <w:sz w:val="24"/>
          <w:szCs w:val="24"/>
          <w:lang w:val="es-CO"/>
        </w:rPr>
        <w:t xml:space="preserve"> (520 kg)</w:t>
      </w:r>
      <w:r w:rsidRPr="442EAC12" w:rsidR="1D682611">
        <w:rPr>
          <w:rFonts w:ascii="Arial Narrow" w:hAnsi="Arial Narrow" w:eastAsia="Arial Narrow" w:cs="Arial Narrow"/>
          <w:i w:val="1"/>
          <w:iCs w:val="1"/>
          <w:noProof w:val="0"/>
          <w:color w:val="000000" w:themeColor="text1" w:themeTint="FF" w:themeShade="FF"/>
          <w:sz w:val="24"/>
          <w:szCs w:val="24"/>
          <w:lang w:val="es-CO"/>
        </w:rPr>
        <w:t xml:space="preserve"> [</w:t>
      </w:r>
      <w:r w:rsidRPr="442EAC12" w:rsidR="2FB98945">
        <w:rPr>
          <w:rFonts w:ascii="Arial Narrow" w:hAnsi="Arial Narrow" w:eastAsia="Arial Narrow" w:cs="Arial Narrow"/>
          <w:i w:val="1"/>
          <w:iCs w:val="1"/>
          <w:noProof w:val="0"/>
          <w:color w:val="000000" w:themeColor="text1" w:themeTint="FF" w:themeShade="FF"/>
          <w:sz w:val="24"/>
          <w:szCs w:val="24"/>
          <w:lang w:val="es-CO"/>
        </w:rPr>
        <w:t>2</w:t>
      </w:r>
      <w:r w:rsidRPr="442EAC12" w:rsidR="1D682611">
        <w:rPr>
          <w:rFonts w:ascii="Arial Narrow" w:hAnsi="Arial Narrow" w:eastAsia="Arial Narrow" w:cs="Arial Narrow"/>
          <w:i w:val="1"/>
          <w:iCs w:val="1"/>
          <w:noProof w:val="0"/>
          <w:color w:val="000000" w:themeColor="text1" w:themeTint="FF" w:themeShade="FF"/>
          <w:sz w:val="24"/>
          <w:szCs w:val="24"/>
          <w:lang w:val="es-CO"/>
        </w:rPr>
        <w:t>]</w:t>
      </w:r>
    </w:p>
    <w:p w:rsidR="5E7B4581" w:rsidP="442EAC12" w:rsidRDefault="5E7B4581" w14:paraId="23906352" w14:textId="2D275D02">
      <w:pPr>
        <w:pStyle w:val="Normal"/>
      </w:pPr>
    </w:p>
    <w:p w:rsidR="37AAC77E" w:rsidP="442EAC12" w:rsidRDefault="37AAC77E" w14:paraId="759C6AF1" w14:textId="67B35F63">
      <w:pPr>
        <w:jc w:val="both"/>
      </w:pPr>
      <w:commentRangeStart w:id="328909897"/>
      <w:r w:rsidR="2A029448">
        <w:drawing>
          <wp:inline wp14:editId="7B366701" wp14:anchorId="35B22DEB">
            <wp:extent cx="5619750" cy="2152650"/>
            <wp:effectExtent l="0" t="0" r="0" b="0"/>
            <wp:docPr id="1966381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6381363" name="Picture 1966381363"/>
                    <pic:cNvPicPr/>
                  </pic:nvPicPr>
                  <pic:blipFill>
                    <a:blip xmlns:r="http://schemas.openxmlformats.org/officeDocument/2006/relationships" r:embed="rId282021257">
                      <a:extLst>
                        <a:ext uri="{28A0092B-C50C-407E-A947-70E740481C1C}">
                          <a14:useLocalDpi xmlns:a14="http://schemas.microsoft.com/office/drawing/2010/main"/>
                        </a:ext>
                      </a:extLst>
                    </a:blip>
                    <a:stretch>
                      <a:fillRect/>
                    </a:stretch>
                  </pic:blipFill>
                  <pic:spPr>
                    <a:xfrm>
                      <a:off x="0" y="0"/>
                      <a:ext cx="5619750" cy="2152650"/>
                    </a:xfrm>
                    <a:prstGeom prst="rect">
                      <a:avLst/>
                    </a:prstGeom>
                  </pic:spPr>
                </pic:pic>
              </a:graphicData>
            </a:graphic>
          </wp:inline>
        </w:drawing>
      </w:r>
      <w:commentRangeEnd w:id="328909897"/>
      <w:r>
        <w:rPr>
          <w:rStyle w:val="CommentReference"/>
        </w:rPr>
        <w:commentReference w:id="328909897"/>
      </w:r>
      <w:r>
        <w:br/>
      </w:r>
      <w:r w:rsidRPr="442EAC12" w:rsidR="37AAC77E">
        <w:rPr>
          <w:rFonts w:ascii="Arial Narrow" w:hAnsi="Arial Narrow" w:eastAsia="Arial Narrow" w:cs="Arial Narrow"/>
          <w:i w:val="1"/>
          <w:iCs w:val="1"/>
          <w:noProof w:val="0"/>
          <w:color w:val="000000" w:themeColor="text1" w:themeTint="FF" w:themeShade="FF"/>
          <w:sz w:val="24"/>
          <w:szCs w:val="24"/>
          <w:lang w:val="es-CO"/>
        </w:rPr>
        <w:t xml:space="preserve">Figura </w:t>
      </w:r>
      <w:r>
        <w:tab/>
      </w:r>
      <w:r w:rsidRPr="442EAC12" w:rsidR="37AAC77E">
        <w:rPr>
          <w:rFonts w:ascii="Arial Narrow" w:hAnsi="Arial Narrow" w:eastAsia="Arial Narrow" w:cs="Arial Narrow"/>
          <w:i w:val="1"/>
          <w:iCs w:val="1"/>
          <w:noProof w:val="0"/>
          <w:color w:val="000000" w:themeColor="text1" w:themeTint="FF" w:themeShade="FF"/>
          <w:sz w:val="24"/>
          <w:szCs w:val="24"/>
          <w:lang w:val="es-CO"/>
        </w:rPr>
        <w:t>2: Diagrama de sistema modular</w:t>
      </w:r>
      <w:r w:rsidRPr="442EAC12" w:rsidR="3F846EC1">
        <w:rPr>
          <w:rFonts w:ascii="Arial Narrow" w:hAnsi="Arial Narrow" w:eastAsia="Arial Narrow" w:cs="Arial Narrow"/>
          <w:i w:val="1"/>
          <w:iCs w:val="1"/>
          <w:noProof w:val="0"/>
          <w:color w:val="000000" w:themeColor="text1" w:themeTint="FF" w:themeShade="FF"/>
          <w:sz w:val="24"/>
          <w:szCs w:val="24"/>
          <w:lang w:val="es-CO"/>
        </w:rPr>
        <w:t xml:space="preserve"> </w:t>
      </w:r>
      <w:r w:rsidRPr="442EAC12" w:rsidR="3F846EC1">
        <w:rPr>
          <w:rFonts w:ascii="Arial Narrow" w:hAnsi="Arial Narrow" w:eastAsia="Arial Narrow" w:cs="Arial Narrow"/>
          <w:noProof w:val="0"/>
          <w:color w:val="000000" w:themeColor="text1" w:themeTint="FF" w:themeShade="FF"/>
          <w:sz w:val="24"/>
          <w:szCs w:val="24"/>
          <w:lang w:val="es-CO"/>
        </w:rPr>
        <w:t>[</w:t>
      </w:r>
      <w:r w:rsidRPr="442EAC12" w:rsidR="0342D908">
        <w:rPr>
          <w:rFonts w:ascii="Arial Narrow" w:hAnsi="Arial Narrow" w:eastAsia="Arial Narrow" w:cs="Arial Narrow"/>
          <w:noProof w:val="0"/>
          <w:color w:val="000000" w:themeColor="text1" w:themeTint="FF" w:themeShade="FF"/>
          <w:sz w:val="24"/>
          <w:szCs w:val="24"/>
          <w:lang w:val="es-CO"/>
        </w:rPr>
        <w:t>2</w:t>
      </w:r>
      <w:r w:rsidRPr="442EAC12" w:rsidR="3F846EC1">
        <w:rPr>
          <w:rFonts w:ascii="Arial Narrow" w:hAnsi="Arial Narrow" w:eastAsia="Arial Narrow" w:cs="Arial Narrow"/>
          <w:noProof w:val="0"/>
          <w:color w:val="000000" w:themeColor="text1" w:themeTint="FF" w:themeShade="FF"/>
          <w:sz w:val="24"/>
          <w:szCs w:val="24"/>
          <w:lang w:val="es-CO"/>
        </w:rPr>
        <w:t>]</w:t>
      </w:r>
    </w:p>
    <w:p w:rsidR="4B291E1C" w:rsidP="442EAC12" w:rsidRDefault="4B291E1C" w14:paraId="051FF64F" w14:textId="452AFD2C">
      <w:pPr>
        <w:pStyle w:val="Normal"/>
        <w:jc w:val="both"/>
      </w:pPr>
      <w:r w:rsidR="4B291E1C">
        <w:rPr/>
        <w:t xml:space="preserve">Para entender los principios de diseño detrás de sistemas como el de Endo et al., la revisión de </w:t>
      </w:r>
      <w:r w:rsidR="4B291E1C">
        <w:rPr/>
        <w:t>Kudiiarov</w:t>
      </w:r>
      <w:r w:rsidR="4B291E1C">
        <w:rPr/>
        <w:t xml:space="preserve"> et al. ofrece un análisis exhaustivo sobre la optimización de reactores de hidruro metálico. El estudio establece que la eficiencia global del almacenamiento de hidrógeno en estado sólido se limita directamente por la cinética de sus reacciones de absorción y desorción, lo cual depende inherentemente de una gestión térmica capaz de disipar el calor de reacción (aprox. 30 kJ/mol) para mantener la presión de equilibrio dentro de rangos operativos. </w:t>
      </w:r>
      <w:r w:rsidR="57689CC6">
        <w:rPr/>
        <w:t>[3]</w:t>
      </w:r>
    </w:p>
    <w:p w:rsidR="57689CC6" w:rsidP="442EAC12" w:rsidRDefault="57689CC6" w14:paraId="476DD8E6" w14:textId="2A16F044">
      <w:pPr>
        <w:pStyle w:val="Normal"/>
        <w:jc w:val="both"/>
      </w:pPr>
      <w:r w:rsidR="57689CC6">
        <w:rPr/>
        <w:t xml:space="preserve">En este contexto, la revisión destaca que la geometría del reactor es el primer factor crítico para mitigar la resistencia térmica. </w:t>
      </w:r>
      <w:commentRangeStart w:id="1193409820"/>
      <w:r w:rsidR="57689CC6">
        <w:rPr/>
        <w:t>Aunque se exploran formas esféricas y de disco, los reactores cilíndricos son los más comunes debido a su facilidad de fabricación y su robustez para soportar altas presiones</w:t>
      </w:r>
      <w:commentRangeEnd w:id="1193409820"/>
      <w:r>
        <w:rPr>
          <w:rStyle w:val="CommentReference"/>
        </w:rPr>
        <w:commentReference w:id="1193409820"/>
      </w:r>
      <w:r w:rsidR="57689CC6">
        <w:rPr/>
        <w:t>. Dentro de estos cilindros, se exploran distintas estrategias para mejorar la transferencia de calor. Por un lado, la modificación pasiva del lecho busca mejorar la conductividad térmica del propio material de almacenamiento mediante la compactación de los polvos o la adición de matrices de alta conductividad, como espumas de aluminio o grafito natural expandido (ENG</w:t>
      </w:r>
      <w:r w:rsidR="57689CC6">
        <w:rPr/>
        <w:t>)</w:t>
      </w:r>
      <w:r w:rsidR="495D1A85">
        <w:rPr/>
        <w:t xml:space="preserve"> </w:t>
      </w:r>
      <w:r w:rsidR="57689CC6">
        <w:rPr/>
        <w:t>[</w:t>
      </w:r>
      <w:r w:rsidR="57689CC6">
        <w:rPr/>
        <w:t>3], [4], [5]. Sin embargo, los autores subrayan un compromiso (</w:t>
      </w:r>
      <w:r w:rsidR="57689CC6">
        <w:rPr/>
        <w:t>trade</w:t>
      </w:r>
      <w:r w:rsidR="57689CC6">
        <w:rPr/>
        <w:t>-off) inevitable: si bien estos aditivos aceleran la cinética, también reducen la permeabilidad del hidrógeno y ocupan un volumen, disminuyendo la densidad de almacenamiento total del sistema.</w:t>
      </w:r>
    </w:p>
    <w:p w:rsidR="0C268934" w:rsidP="442EAC12" w:rsidRDefault="0C268934" w14:paraId="110A43D2" w14:textId="057E755D">
      <w:pPr>
        <w:pStyle w:val="Normal"/>
      </w:pPr>
      <w:r w:rsidR="0C268934">
        <w:rPr/>
        <w:t xml:space="preserve">Por otro lado, la gestión térmica activa se presenta como la solución más determinante, centrándose en la optimización de los intercambiadores de calor internos. El artículo </w:t>
      </w:r>
      <w:r w:rsidR="54D61F40">
        <w:rPr/>
        <w:t xml:space="preserve">Zhu et al. 2024 </w:t>
      </w:r>
      <w:r w:rsidR="0C268934">
        <w:rPr/>
        <w:t>evidencia que los tubos helicoidales superan a los rectos tradicionales, logrando reducciones del tiempo de carga de hasta un 35.3% debido a la mayor superficie de contacto y la turbulencia generada, y que la integración de aletas (transversales, longitudinales o en configuraciones complejas) es crucial para extender el área de transferencia térmica. No obstante, se enfatiza la necesidad de un diseño equilibrado, pues un exceso de estos componentes introduce una masa parásita que penaliza la densidad energética sin ofrecer una mejora proporcional en el rendimiento.</w:t>
      </w:r>
      <w:r w:rsidR="276766BA">
        <w:rPr/>
        <w:t xml:space="preserve"> [3]</w:t>
      </w:r>
    </w:p>
    <w:p w:rsidR="4906BC1D" w:rsidP="442EAC12" w:rsidRDefault="4906BC1D" w14:paraId="7CC85E9C" w14:textId="3E3E2F9A">
      <w:pPr>
        <w:pStyle w:val="Normal"/>
      </w:pPr>
      <w:r w:rsidR="4906BC1D">
        <w:rPr/>
        <w:t xml:space="preserve">Un avance significativo en esta dirección es la integración de Materiales de Cambio de Fase (PCM) para amortiguar los picos térmicos. </w:t>
      </w:r>
      <w:r w:rsidR="4906BC1D">
        <w:rPr/>
        <w:t>Mellouli</w:t>
      </w:r>
      <w:r w:rsidR="4906BC1D">
        <w:rPr/>
        <w:t xml:space="preserve"> et al. (2017) demostraron que un sistema híbrido MH-PCM con un circuito cerrado de fluido de transferencia de calor (HTF) puede reducir el tiempo de carga hasta en un 72% en comparación con un sistema sin gestión térmica activa. En su diseño, el PCM actúa como un sumidero de calor durante la absorción exotérmica y como fuente de calor durante la desorción endotérmica, estabilizando la temperatura del reactor y mejorando la eficiencia del ciclo.</w:t>
      </w:r>
      <w:r w:rsidR="2AACCC23">
        <w:rPr/>
        <w:t xml:space="preserve"> [17]</w:t>
      </w:r>
    </w:p>
    <w:p w:rsidR="07CB8B4F" w:rsidP="442EAC12" w:rsidRDefault="07CB8B4F" w14:paraId="4203BE31" w14:textId="7D66415D">
      <w:pPr>
        <w:pStyle w:val="Heading2"/>
        <w:ind w:left="1284" w:hanging="576"/>
        <w:rPr>
          <w:rFonts w:ascii="Arial Narrow" w:hAnsi="Arial Narrow" w:eastAsia="Arial Narrow" w:cs="Arial Narrow"/>
          <w:noProof w:val="0"/>
          <w:color w:val="000000" w:themeColor="text1" w:themeTint="FF" w:themeShade="FF"/>
          <w:sz w:val="24"/>
          <w:szCs w:val="24"/>
          <w:lang w:val="es-CO"/>
        </w:rPr>
      </w:pPr>
      <w:bookmarkStart w:name="_Toc274159319" w:id="413796422"/>
      <w:r w:rsidRPr="442EAC12" w:rsidR="7FBF6081">
        <w:rPr>
          <w:rFonts w:ascii="Arial Narrow" w:hAnsi="Arial Narrow" w:eastAsia="Arial Narrow" w:cs="Arial Narrow"/>
          <w:noProof w:val="0"/>
          <w:sz w:val="24"/>
          <w:szCs w:val="24"/>
          <w:lang w:val="es-CO"/>
        </w:rPr>
        <w:t>Gestión Térmica</w:t>
      </w:r>
      <w:bookmarkEnd w:id="413796422"/>
    </w:p>
    <w:p w:rsidR="215C4564" w:rsidP="442EAC12" w:rsidRDefault="215C4564" w14:paraId="2EC1B6ED" w14:textId="1F109C08">
      <w:pPr>
        <w:pStyle w:val="Normal"/>
      </w:pPr>
      <w:r w:rsidR="677DD0CD">
        <w:rPr/>
        <w:t xml:space="preserve">La gestión térmica en reactores de hidruros metálicos (MHR) constituye un imperativo termodinámico más requisito operativo. La formación del hidruro libera una entalpía de reacción considerable (25-30 kJ/mol H₂), que debe ser evacuada continuamente para mantener la fuerza impulsora del proceso. Sin embargo, la estructura granular del lecho de hidruro presenta una resistencia térmica inherente, con conductividades efectivas tan bajas como </w:t>
      </w:r>
      <w:r w:rsidR="50518B80">
        <w:rPr/>
        <w:t>(0.1-1.5 W/</w:t>
      </w:r>
      <w:r w:rsidR="50518B80">
        <w:rPr/>
        <w:t>m·K</w:t>
      </w:r>
      <w:r w:rsidR="50518B80">
        <w:rPr/>
        <w:t>),</w:t>
      </w:r>
      <w:r w:rsidR="677DD0CD">
        <w:rPr/>
        <w:t xml:space="preserve"> comportándose en la práctica como un aislante. Esta incapacidad para disipar el calor generado provoca un rápido incremento de la temperatura local que, gobernado por la relación de </w:t>
      </w:r>
      <w:r w:rsidR="677DD0CD">
        <w:rPr/>
        <w:t>Van't</w:t>
      </w:r>
      <w:r w:rsidR="677DD0CD">
        <w:rPr/>
        <w:t xml:space="preserve"> </w:t>
      </w:r>
      <w:r w:rsidR="677DD0CD">
        <w:rPr/>
        <w:t>Hoff</w:t>
      </w:r>
      <w:r w:rsidR="677DD0CD">
        <w:rPr/>
        <w:t xml:space="preserve">, dispara la presión de equilibrio del sistema. En consecuencia, la reacción se autolimita: si el calor no se extrae a la misma velocidad que se genera, la presión de equilibrio iguala o supera la presión de alimentación y la absorción se bloquea termodinámicamente, dejando gran parte de la capacidad de almacenamiento inaccesible. </w:t>
      </w:r>
      <w:r w:rsidR="5FE616FB">
        <w:rPr/>
        <w:t>[1], [6]</w:t>
      </w:r>
    </w:p>
    <w:p w:rsidR="215C4564" w:rsidP="442EAC12" w:rsidRDefault="215C4564" w14:paraId="7B31F39A" w14:textId="330543DE">
      <w:pPr>
        <w:pStyle w:val="Normal"/>
      </w:pPr>
      <w:r w:rsidR="0E635FDA">
        <w:rPr/>
        <w:t>Para cuantificar y resolver este desafío, el estudio numérico de Askri et al. es fundamental, pues evalúa sistemáticamente una progresión de cuatro diseños de ingeniería para mejorar el rendimiento del reactor, como se presenta en la Figura 3. El análisis parte de un tanque cilíndrico simple que requiere aproximadamente 1000 segundos para completar la carga debido a la lenta disipación de calor. Los autores demuestran que añadir aletas externas reduce este tiempo a 600 segundos, una mejora del 40% que resulta insuficiente para resolver el aislamiento del núcleo. El avance crucial se logra al trasladar la gestión térmica al interior mediante un tubo de refrigeración concéntrico, bajando el tiempo a 400 segundos. La configuración más exitosa, que combina este tubo interno con aletas radiales que extraen el calor uniformemente, alcanzando la saturación 350 segundos</w:t>
      </w:r>
      <w:r w:rsidR="0E635FDA">
        <w:rPr/>
        <w:t>. [</w:t>
      </w:r>
      <w:r w:rsidR="5FE616FB">
        <w:rPr/>
        <w:t>6]</w:t>
      </w:r>
      <w:r>
        <w:br/>
      </w:r>
    </w:p>
    <w:p w:rsidR="215C4564" w:rsidP="442EAC12" w:rsidRDefault="215C4564" w14:paraId="663715C3" w14:textId="502DBD45">
      <w:pPr>
        <w:pStyle w:val="Normal"/>
        <w:jc w:val="center"/>
      </w:pPr>
      <w:r w:rsidR="0D435AC1">
        <w:drawing>
          <wp:inline wp14:editId="43281608" wp14:anchorId="5541D430">
            <wp:extent cx="1524584" cy="2146788"/>
            <wp:effectExtent l="0" t="0" r="0" b="0"/>
            <wp:docPr id="627593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7593917" name="Picture 627593917"/>
                    <pic:cNvPicPr/>
                  </pic:nvPicPr>
                  <pic:blipFill>
                    <a:blip xmlns:r="http://schemas.openxmlformats.org/officeDocument/2006/relationships" r:embed="rId1027493547">
                      <a:extLst>
                        <a:ext uri="{28A0092B-C50C-407E-A947-70E740481C1C}">
                          <a14:useLocalDpi xmlns:a14="http://schemas.microsoft.com/office/drawing/2010/main"/>
                        </a:ext>
                      </a:extLst>
                    </a:blip>
                    <a:stretch>
                      <a:fillRect/>
                    </a:stretch>
                  </pic:blipFill>
                  <pic:spPr>
                    <a:xfrm rot="0">
                      <a:off x="0" y="0"/>
                      <a:ext cx="1524584" cy="2146788"/>
                    </a:xfrm>
                    <a:prstGeom prst="rect">
                      <a:avLst/>
                    </a:prstGeom>
                  </pic:spPr>
                </pic:pic>
              </a:graphicData>
            </a:graphic>
          </wp:inline>
        </w:drawing>
      </w:r>
    </w:p>
    <w:p w:rsidR="215C4564" w:rsidP="442EAC12" w:rsidRDefault="215C4564" w14:paraId="3C216624" w14:textId="2CC64B19">
      <w:pPr>
        <w:pStyle w:val="Normal"/>
        <w:spacing w:before="119" w:beforeAutospacing="off" w:after="119" w:afterAutospacing="off" w:line="240" w:lineRule="auto"/>
        <w:jc w:val="both"/>
      </w:pPr>
      <w:r w:rsidRPr="442EAC12" w:rsidR="6BCAD809">
        <w:rPr>
          <w:rFonts w:ascii="Arial Narrow" w:hAnsi="Arial Narrow" w:eastAsia="Arial Narrow" w:cs="Arial Narrow"/>
          <w:i w:val="1"/>
          <w:iCs w:val="1"/>
          <w:noProof w:val="0"/>
          <w:color w:val="000000" w:themeColor="text1" w:themeTint="FF" w:themeShade="FF"/>
          <w:sz w:val="24"/>
          <w:szCs w:val="24"/>
          <w:lang w:val="es-CO"/>
        </w:rPr>
        <w:t>Figura 3: Diseños de ingeniería para mejorar el rendimiento</w:t>
      </w:r>
      <w:r w:rsidRPr="442EAC12" w:rsidR="7A56B076">
        <w:rPr>
          <w:rFonts w:ascii="Arial Narrow" w:hAnsi="Arial Narrow" w:eastAsia="Arial Narrow" w:cs="Arial Narrow"/>
          <w:i w:val="1"/>
          <w:iCs w:val="1"/>
          <w:noProof w:val="0"/>
          <w:color w:val="000000" w:themeColor="text1" w:themeTint="FF" w:themeShade="FF"/>
          <w:sz w:val="24"/>
          <w:szCs w:val="24"/>
          <w:lang w:val="es-CO"/>
        </w:rPr>
        <w:t xml:space="preserve"> </w:t>
      </w:r>
      <w:r w:rsidR="7A56B076">
        <w:rPr/>
        <w:t>[6]</w:t>
      </w:r>
    </w:p>
    <w:p w:rsidR="215C4564" w:rsidP="442EAC12" w:rsidRDefault="215C4564" w14:paraId="2A04EE66" w14:textId="14CDBED3">
      <w:pPr>
        <w:pStyle w:val="Normal"/>
        <w:rPr>
          <w:noProof w:val="0"/>
          <w:lang w:val="en-US"/>
        </w:rPr>
      </w:pPr>
      <w:r w:rsidRPr="442EAC12" w:rsidR="4D0E4D2B">
        <w:rPr>
          <w:noProof w:val="0"/>
          <w:lang w:val="en-US"/>
        </w:rPr>
        <w:t xml:space="preserve">El estudio es concluyente en que esta </w:t>
      </w:r>
      <w:r w:rsidRPr="442EAC12" w:rsidR="4D0E4D2B">
        <w:rPr>
          <w:noProof w:val="0"/>
          <w:lang w:val="en-US"/>
        </w:rPr>
        <w:t>optimización</w:t>
      </w:r>
      <w:r w:rsidRPr="442EAC12" w:rsidR="4D0E4D2B">
        <w:rPr>
          <w:noProof w:val="0"/>
          <w:lang w:val="en-US"/>
        </w:rPr>
        <w:t xml:space="preserve"> </w:t>
      </w:r>
      <w:r w:rsidRPr="442EAC12" w:rsidR="4D0E4D2B">
        <w:rPr>
          <w:noProof w:val="0"/>
          <w:lang w:val="en-US"/>
        </w:rPr>
        <w:t>progresiva</w:t>
      </w:r>
      <w:r w:rsidRPr="442EAC12" w:rsidR="4D0E4D2B">
        <w:rPr>
          <w:noProof w:val="0"/>
          <w:lang w:val="en-US"/>
        </w:rPr>
        <w:t xml:space="preserve"> </w:t>
      </w:r>
      <w:r w:rsidRPr="442EAC12" w:rsidR="4D0E4D2B">
        <w:rPr>
          <w:noProof w:val="0"/>
          <w:lang w:val="en-US"/>
        </w:rPr>
        <w:t>logra</w:t>
      </w:r>
      <w:r w:rsidRPr="442EAC12" w:rsidR="4D0E4D2B">
        <w:rPr>
          <w:noProof w:val="0"/>
          <w:lang w:val="en-US"/>
        </w:rPr>
        <w:t xml:space="preserve"> </w:t>
      </w:r>
      <w:r w:rsidRPr="442EAC12" w:rsidR="4D0E4D2B">
        <w:rPr>
          <w:noProof w:val="0"/>
          <w:lang w:val="en-US"/>
        </w:rPr>
        <w:t>una</w:t>
      </w:r>
      <w:r w:rsidRPr="442EAC12" w:rsidR="4D0E4D2B">
        <w:rPr>
          <w:noProof w:val="0"/>
          <w:lang w:val="en-US"/>
        </w:rPr>
        <w:t xml:space="preserve"> </w:t>
      </w:r>
      <w:r w:rsidRPr="442EAC12" w:rsidR="4D0E4D2B">
        <w:rPr>
          <w:noProof w:val="0"/>
          <w:lang w:val="en-US"/>
        </w:rPr>
        <w:t>reducción</w:t>
      </w:r>
      <w:r w:rsidRPr="442EAC12" w:rsidR="4D0E4D2B">
        <w:rPr>
          <w:noProof w:val="0"/>
          <w:lang w:val="en-US"/>
        </w:rPr>
        <w:t xml:space="preserve"> total del 65% </w:t>
      </w:r>
      <w:r w:rsidRPr="442EAC12" w:rsidR="4D0E4D2B">
        <w:rPr>
          <w:noProof w:val="0"/>
          <w:lang w:val="en-US"/>
        </w:rPr>
        <w:t>en</w:t>
      </w:r>
      <w:r w:rsidRPr="442EAC12" w:rsidR="4D0E4D2B">
        <w:rPr>
          <w:noProof w:val="0"/>
          <w:lang w:val="en-US"/>
        </w:rPr>
        <w:t xml:space="preserve"> </w:t>
      </w:r>
      <w:r w:rsidRPr="442EAC12" w:rsidR="4D0E4D2B">
        <w:rPr>
          <w:noProof w:val="0"/>
          <w:lang w:val="en-US"/>
        </w:rPr>
        <w:t>el</w:t>
      </w:r>
      <w:r w:rsidRPr="442EAC12" w:rsidR="4D0E4D2B">
        <w:rPr>
          <w:noProof w:val="0"/>
          <w:lang w:val="en-US"/>
        </w:rPr>
        <w:t xml:space="preserve"> </w:t>
      </w:r>
      <w:r w:rsidRPr="442EAC12" w:rsidR="4D0E4D2B">
        <w:rPr>
          <w:noProof w:val="0"/>
          <w:lang w:val="en-US"/>
        </w:rPr>
        <w:t>tiempo</w:t>
      </w:r>
      <w:r w:rsidRPr="442EAC12" w:rsidR="4D0E4D2B">
        <w:rPr>
          <w:noProof w:val="0"/>
          <w:lang w:val="en-US"/>
        </w:rPr>
        <w:t xml:space="preserve"> de </w:t>
      </w:r>
      <w:r w:rsidRPr="442EAC12" w:rsidR="4D0E4D2B">
        <w:rPr>
          <w:noProof w:val="0"/>
          <w:lang w:val="en-US"/>
        </w:rPr>
        <w:t>almacenamiento</w:t>
      </w:r>
      <w:r w:rsidRPr="442EAC12" w:rsidR="4D0E4D2B">
        <w:rPr>
          <w:noProof w:val="0"/>
          <w:lang w:val="en-US"/>
        </w:rPr>
        <w:t xml:space="preserve">, </w:t>
      </w:r>
      <w:r w:rsidRPr="442EAC12" w:rsidR="4D0E4D2B">
        <w:rPr>
          <w:noProof w:val="0"/>
          <w:lang w:val="en-US"/>
        </w:rPr>
        <w:t>demostrando</w:t>
      </w:r>
      <w:r w:rsidRPr="442EAC12" w:rsidR="4D0E4D2B">
        <w:rPr>
          <w:noProof w:val="0"/>
          <w:lang w:val="en-US"/>
        </w:rPr>
        <w:t xml:space="preserve"> de </w:t>
      </w:r>
      <w:r w:rsidRPr="442EAC12" w:rsidR="4D0E4D2B">
        <w:rPr>
          <w:noProof w:val="0"/>
          <w:lang w:val="en-US"/>
        </w:rPr>
        <w:t>manera</w:t>
      </w:r>
      <w:r w:rsidRPr="442EAC12" w:rsidR="4D0E4D2B">
        <w:rPr>
          <w:noProof w:val="0"/>
          <w:lang w:val="en-US"/>
        </w:rPr>
        <w:t xml:space="preserve"> </w:t>
      </w:r>
      <w:r w:rsidRPr="442EAC12" w:rsidR="4D0E4D2B">
        <w:rPr>
          <w:noProof w:val="0"/>
          <w:lang w:val="en-US"/>
        </w:rPr>
        <w:t>contundente</w:t>
      </w:r>
      <w:r w:rsidRPr="442EAC12" w:rsidR="4D0E4D2B">
        <w:rPr>
          <w:noProof w:val="0"/>
          <w:lang w:val="en-US"/>
        </w:rPr>
        <w:t xml:space="preserve"> </w:t>
      </w:r>
      <w:r w:rsidRPr="442EAC12" w:rsidR="4D0E4D2B">
        <w:rPr>
          <w:noProof w:val="0"/>
          <w:lang w:val="en-US"/>
        </w:rPr>
        <w:t>que</w:t>
      </w:r>
      <w:r w:rsidRPr="442EAC12" w:rsidR="4D0E4D2B">
        <w:rPr>
          <w:noProof w:val="0"/>
          <w:lang w:val="en-US"/>
        </w:rPr>
        <w:t xml:space="preserve"> </w:t>
      </w:r>
      <w:r w:rsidRPr="442EAC12" w:rsidR="4D0E4D2B">
        <w:rPr>
          <w:noProof w:val="0"/>
          <w:lang w:val="en-US"/>
        </w:rPr>
        <w:t>una</w:t>
      </w:r>
      <w:r w:rsidRPr="442EAC12" w:rsidR="4D0E4D2B">
        <w:rPr>
          <w:noProof w:val="0"/>
          <w:lang w:val="en-US"/>
        </w:rPr>
        <w:t xml:space="preserve"> </w:t>
      </w:r>
      <w:r w:rsidRPr="442EAC12" w:rsidR="4D0E4D2B">
        <w:rPr>
          <w:noProof w:val="0"/>
          <w:lang w:val="en-US"/>
        </w:rPr>
        <w:t>gestión</w:t>
      </w:r>
      <w:r w:rsidRPr="442EAC12" w:rsidR="4D0E4D2B">
        <w:rPr>
          <w:noProof w:val="0"/>
          <w:lang w:val="en-US"/>
        </w:rPr>
        <w:t xml:space="preserve"> </w:t>
      </w:r>
      <w:r w:rsidRPr="442EAC12" w:rsidR="4D0E4D2B">
        <w:rPr>
          <w:noProof w:val="0"/>
          <w:lang w:val="en-US"/>
        </w:rPr>
        <w:t>térmica</w:t>
      </w:r>
      <w:r w:rsidRPr="442EAC12" w:rsidR="4D0E4D2B">
        <w:rPr>
          <w:noProof w:val="0"/>
          <w:lang w:val="en-US"/>
        </w:rPr>
        <w:t xml:space="preserve"> bien </w:t>
      </w:r>
      <w:r w:rsidRPr="442EAC12" w:rsidR="4D0E4D2B">
        <w:rPr>
          <w:noProof w:val="0"/>
          <w:lang w:val="en-US"/>
        </w:rPr>
        <w:t>distribuida</w:t>
      </w:r>
      <w:r w:rsidRPr="442EAC12" w:rsidR="4D0E4D2B">
        <w:rPr>
          <w:noProof w:val="0"/>
          <w:lang w:val="en-US"/>
        </w:rPr>
        <w:t xml:space="preserve"> es un </w:t>
      </w:r>
      <w:r w:rsidRPr="442EAC12" w:rsidR="4D0E4D2B">
        <w:rPr>
          <w:noProof w:val="0"/>
          <w:lang w:val="en-US"/>
        </w:rPr>
        <w:t>requisito</w:t>
      </w:r>
      <w:r w:rsidRPr="442EAC12" w:rsidR="4D0E4D2B">
        <w:rPr>
          <w:noProof w:val="0"/>
          <w:lang w:val="en-US"/>
        </w:rPr>
        <w:t xml:space="preserve"> indispensable y es crucial para la </w:t>
      </w:r>
      <w:r w:rsidRPr="442EAC12" w:rsidR="4D0E4D2B">
        <w:rPr>
          <w:noProof w:val="0"/>
          <w:lang w:val="en-US"/>
        </w:rPr>
        <w:t>viabilidad</w:t>
      </w:r>
      <w:r w:rsidRPr="442EAC12" w:rsidR="4D0E4D2B">
        <w:rPr>
          <w:noProof w:val="0"/>
          <w:lang w:val="en-US"/>
        </w:rPr>
        <w:t xml:space="preserve"> </w:t>
      </w:r>
      <w:r w:rsidRPr="442EAC12" w:rsidR="4D0E4D2B">
        <w:rPr>
          <w:noProof w:val="0"/>
          <w:lang w:val="en-US"/>
        </w:rPr>
        <w:t>práctica</w:t>
      </w:r>
      <w:r w:rsidRPr="442EAC12" w:rsidR="4D0E4D2B">
        <w:rPr>
          <w:noProof w:val="0"/>
          <w:lang w:val="en-US"/>
        </w:rPr>
        <w:t xml:space="preserve"> de </w:t>
      </w:r>
      <w:r w:rsidRPr="442EAC12" w:rsidR="4D0E4D2B">
        <w:rPr>
          <w:noProof w:val="0"/>
          <w:lang w:val="en-US"/>
        </w:rPr>
        <w:t>estos</w:t>
      </w:r>
      <w:r w:rsidRPr="442EAC12" w:rsidR="4D0E4D2B">
        <w:rPr>
          <w:noProof w:val="0"/>
          <w:lang w:val="en-US"/>
        </w:rPr>
        <w:t xml:space="preserve"> </w:t>
      </w:r>
      <w:r w:rsidRPr="442EAC12" w:rsidR="4D0E4D2B">
        <w:rPr>
          <w:noProof w:val="0"/>
          <w:lang w:val="en-US"/>
        </w:rPr>
        <w:t>sistemas</w:t>
      </w:r>
      <w:r w:rsidRPr="442EAC12" w:rsidR="4D0E4D2B">
        <w:rPr>
          <w:noProof w:val="0"/>
          <w:lang w:val="en-US"/>
        </w:rPr>
        <w:t xml:space="preserve">. </w:t>
      </w:r>
      <w:r w:rsidRPr="442EAC12" w:rsidR="22B4BE33">
        <w:rPr>
          <w:noProof w:val="0"/>
          <w:lang w:val="en-US"/>
        </w:rPr>
        <w:t>[6]</w:t>
      </w:r>
    </w:p>
    <w:p w:rsidR="215C4564" w:rsidP="442EAC12" w:rsidRDefault="215C4564" w14:paraId="05B00CDD" w14:textId="4A449DB5">
      <w:pPr>
        <w:pStyle w:val="Normal"/>
      </w:pPr>
      <w:r w:rsidRPr="442EAC12" w:rsidR="45EAF685">
        <w:rPr>
          <w:noProof w:val="0"/>
          <w:lang w:val="en-US"/>
        </w:rPr>
        <w:t xml:space="preserve">Llevando estos principios a </w:t>
      </w:r>
      <w:r w:rsidRPr="442EAC12" w:rsidR="45EAF685">
        <w:rPr>
          <w:noProof w:val="0"/>
          <w:lang w:val="en-US"/>
        </w:rPr>
        <w:t>una</w:t>
      </w:r>
      <w:r w:rsidRPr="442EAC12" w:rsidR="45EAF685">
        <w:rPr>
          <w:noProof w:val="0"/>
          <w:lang w:val="en-US"/>
        </w:rPr>
        <w:t xml:space="preserve"> </w:t>
      </w:r>
      <w:r w:rsidRPr="442EAC12" w:rsidR="45EAF685">
        <w:rPr>
          <w:noProof w:val="0"/>
          <w:lang w:val="en-US"/>
        </w:rPr>
        <w:t>aplicación</w:t>
      </w:r>
      <w:r w:rsidRPr="442EAC12" w:rsidR="45EAF685">
        <w:rPr>
          <w:noProof w:val="0"/>
          <w:lang w:val="en-US"/>
        </w:rPr>
        <w:t xml:space="preserve">, </w:t>
      </w:r>
      <w:r w:rsidRPr="442EAC12" w:rsidR="45EAF685">
        <w:rPr>
          <w:noProof w:val="0"/>
          <w:lang w:val="en-US"/>
        </w:rPr>
        <w:t>el</w:t>
      </w:r>
      <w:r w:rsidRPr="442EAC12" w:rsidR="45EAF685">
        <w:rPr>
          <w:noProof w:val="0"/>
          <w:lang w:val="en-US"/>
        </w:rPr>
        <w:t xml:space="preserve"> </w:t>
      </w:r>
      <w:r w:rsidRPr="442EAC12" w:rsidR="45EAF685">
        <w:rPr>
          <w:noProof w:val="0"/>
          <w:lang w:val="en-US"/>
        </w:rPr>
        <w:t>trabajo</w:t>
      </w:r>
      <w:r w:rsidRPr="442EAC12" w:rsidR="45EAF685">
        <w:rPr>
          <w:noProof w:val="0"/>
          <w:lang w:val="en-US"/>
        </w:rPr>
        <w:t xml:space="preserve"> experimental de Tange et al. </w:t>
      </w:r>
      <w:r w:rsidRPr="442EAC12" w:rsidR="45EAF685">
        <w:rPr>
          <w:noProof w:val="0"/>
          <w:lang w:val="en-US"/>
        </w:rPr>
        <w:t>en</w:t>
      </w:r>
      <w:r w:rsidRPr="442EAC12" w:rsidR="45EAF685">
        <w:rPr>
          <w:noProof w:val="0"/>
          <w:lang w:val="en-US"/>
        </w:rPr>
        <w:t xml:space="preserve"> </w:t>
      </w:r>
      <w:r w:rsidRPr="442EAC12" w:rsidR="45EAF685">
        <w:rPr>
          <w:noProof w:val="0"/>
          <w:lang w:val="en-US"/>
        </w:rPr>
        <w:t>el</w:t>
      </w:r>
      <w:r w:rsidRPr="442EAC12" w:rsidR="45EAF685">
        <w:rPr>
          <w:noProof w:val="0"/>
          <w:lang w:val="en-US"/>
        </w:rPr>
        <w:t xml:space="preserve"> </w:t>
      </w:r>
      <w:r w:rsidRPr="442EAC12" w:rsidR="45EAF685">
        <w:rPr>
          <w:noProof w:val="0"/>
          <w:lang w:val="en-US"/>
        </w:rPr>
        <w:t>sistema</w:t>
      </w:r>
      <w:r w:rsidRPr="442EAC12" w:rsidR="45EAF685">
        <w:rPr>
          <w:noProof w:val="0"/>
          <w:lang w:val="en-US"/>
        </w:rPr>
        <w:t xml:space="preserve"> THEUS (Sistema </w:t>
      </w:r>
      <w:r w:rsidRPr="442EAC12" w:rsidR="45EAF685">
        <w:rPr>
          <w:noProof w:val="0"/>
          <w:lang w:val="en-US"/>
        </w:rPr>
        <w:t>Totalizado</w:t>
      </w:r>
      <w:r w:rsidRPr="442EAC12" w:rsidR="45EAF685">
        <w:rPr>
          <w:noProof w:val="0"/>
          <w:lang w:val="en-US"/>
        </w:rPr>
        <w:t xml:space="preserve"> de </w:t>
      </w:r>
      <w:r w:rsidRPr="442EAC12" w:rsidR="45EAF685">
        <w:rPr>
          <w:noProof w:val="0"/>
          <w:lang w:val="en-US"/>
        </w:rPr>
        <w:t>Utilización</w:t>
      </w:r>
      <w:r w:rsidRPr="442EAC12" w:rsidR="45EAF685">
        <w:rPr>
          <w:noProof w:val="0"/>
          <w:lang w:val="en-US"/>
        </w:rPr>
        <w:t xml:space="preserve"> de Energía de </w:t>
      </w:r>
      <w:r w:rsidRPr="442EAC12" w:rsidR="45EAF685">
        <w:rPr>
          <w:noProof w:val="0"/>
          <w:lang w:val="en-US"/>
        </w:rPr>
        <w:t>Hidrógeno</w:t>
      </w:r>
      <w:r w:rsidRPr="442EAC12" w:rsidR="45EAF685">
        <w:rPr>
          <w:noProof w:val="0"/>
          <w:lang w:val="en-US"/>
        </w:rPr>
        <w:t xml:space="preserve">) </w:t>
      </w:r>
      <w:r w:rsidRPr="442EAC12" w:rsidR="45EAF685">
        <w:rPr>
          <w:noProof w:val="0"/>
          <w:lang w:val="en-US"/>
        </w:rPr>
        <w:t>que</w:t>
      </w:r>
      <w:r w:rsidRPr="442EAC12" w:rsidR="45EAF685">
        <w:rPr>
          <w:noProof w:val="0"/>
          <w:lang w:val="en-US"/>
        </w:rPr>
        <w:t xml:space="preserve"> se </w:t>
      </w:r>
      <w:r w:rsidRPr="442EAC12" w:rsidR="45EAF685">
        <w:rPr>
          <w:noProof w:val="0"/>
          <w:lang w:val="en-US"/>
        </w:rPr>
        <w:t>presenta</w:t>
      </w:r>
      <w:r w:rsidRPr="442EAC12" w:rsidR="45EAF685">
        <w:rPr>
          <w:noProof w:val="0"/>
          <w:lang w:val="en-US"/>
        </w:rPr>
        <w:t xml:space="preserve"> a </w:t>
      </w:r>
      <w:r w:rsidRPr="442EAC12" w:rsidR="45EAF685">
        <w:rPr>
          <w:noProof w:val="0"/>
          <w:lang w:val="en-US"/>
        </w:rPr>
        <w:t>continuacion</w:t>
      </w:r>
      <w:r w:rsidRPr="442EAC12" w:rsidR="45EAF685">
        <w:rPr>
          <w:noProof w:val="0"/>
          <w:lang w:val="en-US"/>
        </w:rPr>
        <w:t xml:space="preserve"> </w:t>
      </w:r>
      <w:r w:rsidRPr="442EAC12" w:rsidR="45EAF685">
        <w:rPr>
          <w:noProof w:val="0"/>
          <w:lang w:val="en-US"/>
        </w:rPr>
        <w:t>en</w:t>
      </w:r>
      <w:r w:rsidRPr="442EAC12" w:rsidR="45EAF685">
        <w:rPr>
          <w:noProof w:val="0"/>
          <w:lang w:val="en-US"/>
        </w:rPr>
        <w:t xml:space="preserve"> la </w:t>
      </w:r>
      <w:r w:rsidRPr="442EAC12" w:rsidR="45EAF685">
        <w:rPr>
          <w:noProof w:val="0"/>
          <w:lang w:val="en-US"/>
        </w:rPr>
        <w:t>figura</w:t>
      </w:r>
      <w:r w:rsidRPr="442EAC12" w:rsidR="45EAF685">
        <w:rPr>
          <w:noProof w:val="0"/>
          <w:lang w:val="en-US"/>
        </w:rPr>
        <w:t xml:space="preserve"> 4 no solo </w:t>
      </w:r>
      <w:r w:rsidRPr="442EAC12" w:rsidR="45EAF685">
        <w:rPr>
          <w:noProof w:val="0"/>
          <w:lang w:val="en-US"/>
        </w:rPr>
        <w:t>gestiona</w:t>
      </w:r>
      <w:r w:rsidRPr="442EAC12" w:rsidR="45EAF685">
        <w:rPr>
          <w:noProof w:val="0"/>
          <w:lang w:val="en-US"/>
        </w:rPr>
        <w:t xml:space="preserve"> </w:t>
      </w:r>
      <w:r w:rsidRPr="442EAC12" w:rsidR="45EAF685">
        <w:rPr>
          <w:noProof w:val="0"/>
          <w:lang w:val="en-US"/>
        </w:rPr>
        <w:t>el</w:t>
      </w:r>
      <w:r w:rsidRPr="442EAC12" w:rsidR="45EAF685">
        <w:rPr>
          <w:noProof w:val="0"/>
          <w:lang w:val="en-US"/>
        </w:rPr>
        <w:t xml:space="preserve"> </w:t>
      </w:r>
      <w:r w:rsidRPr="442EAC12" w:rsidR="45EAF685">
        <w:rPr>
          <w:noProof w:val="0"/>
          <w:lang w:val="en-US"/>
        </w:rPr>
        <w:t>calor</w:t>
      </w:r>
      <w:r w:rsidRPr="442EAC12" w:rsidR="45EAF685">
        <w:rPr>
          <w:noProof w:val="0"/>
          <w:lang w:val="en-US"/>
        </w:rPr>
        <w:t xml:space="preserve"> de </w:t>
      </w:r>
      <w:r w:rsidRPr="442EAC12" w:rsidR="45EAF685">
        <w:rPr>
          <w:noProof w:val="0"/>
          <w:lang w:val="en-US"/>
        </w:rPr>
        <w:t>reacción</w:t>
      </w:r>
      <w:r w:rsidRPr="442EAC12" w:rsidR="45EAF685">
        <w:rPr>
          <w:noProof w:val="0"/>
          <w:lang w:val="en-US"/>
        </w:rPr>
        <w:t xml:space="preserve">, </w:t>
      </w:r>
      <w:r w:rsidRPr="442EAC12" w:rsidR="45EAF685">
        <w:rPr>
          <w:noProof w:val="0"/>
          <w:lang w:val="en-US"/>
        </w:rPr>
        <w:t>sino</w:t>
      </w:r>
      <w:r w:rsidRPr="442EAC12" w:rsidR="45EAF685">
        <w:rPr>
          <w:noProof w:val="0"/>
          <w:lang w:val="en-US"/>
        </w:rPr>
        <w:t xml:space="preserve"> </w:t>
      </w:r>
      <w:r w:rsidRPr="442EAC12" w:rsidR="45EAF685">
        <w:rPr>
          <w:noProof w:val="0"/>
          <w:lang w:val="en-US"/>
        </w:rPr>
        <w:t>que</w:t>
      </w:r>
      <w:r w:rsidRPr="442EAC12" w:rsidR="45EAF685">
        <w:rPr>
          <w:noProof w:val="0"/>
          <w:lang w:val="en-US"/>
        </w:rPr>
        <w:t xml:space="preserve"> lo </w:t>
      </w:r>
      <w:r w:rsidRPr="442EAC12" w:rsidR="45EAF685">
        <w:rPr>
          <w:noProof w:val="0"/>
          <w:lang w:val="en-US"/>
        </w:rPr>
        <w:t>valoriza</w:t>
      </w:r>
      <w:r w:rsidRPr="442EAC12" w:rsidR="45EAF685">
        <w:rPr>
          <w:noProof w:val="0"/>
          <w:lang w:val="en-US"/>
        </w:rPr>
        <w:t xml:space="preserve">. En </w:t>
      </w:r>
      <w:r w:rsidRPr="442EAC12" w:rsidR="45EAF685">
        <w:rPr>
          <w:noProof w:val="0"/>
          <w:lang w:val="en-US"/>
        </w:rPr>
        <w:t>este</w:t>
      </w:r>
      <w:r w:rsidRPr="442EAC12" w:rsidR="45EAF685">
        <w:rPr>
          <w:noProof w:val="0"/>
          <w:lang w:val="en-US"/>
        </w:rPr>
        <w:t xml:space="preserve"> </w:t>
      </w:r>
      <w:r w:rsidRPr="442EAC12" w:rsidR="45EAF685">
        <w:rPr>
          <w:noProof w:val="0"/>
          <w:lang w:val="en-US"/>
        </w:rPr>
        <w:t>sistema</w:t>
      </w:r>
      <w:r w:rsidRPr="442EAC12" w:rsidR="45EAF685">
        <w:rPr>
          <w:noProof w:val="0"/>
          <w:lang w:val="en-US"/>
        </w:rPr>
        <w:t xml:space="preserve"> </w:t>
      </w:r>
      <w:r w:rsidRPr="442EAC12" w:rsidR="45EAF685">
        <w:rPr>
          <w:noProof w:val="0"/>
          <w:lang w:val="en-US"/>
        </w:rPr>
        <w:t>integrado</w:t>
      </w:r>
      <w:r w:rsidRPr="442EAC12" w:rsidR="45EAF685">
        <w:rPr>
          <w:noProof w:val="0"/>
          <w:lang w:val="en-US"/>
        </w:rPr>
        <w:t xml:space="preserve">, </w:t>
      </w:r>
      <w:r w:rsidRPr="442EAC12" w:rsidR="45EAF685">
        <w:rPr>
          <w:noProof w:val="0"/>
          <w:lang w:val="en-US"/>
        </w:rPr>
        <w:t>diseñado</w:t>
      </w:r>
      <w:r w:rsidRPr="442EAC12" w:rsidR="45EAF685">
        <w:rPr>
          <w:noProof w:val="0"/>
          <w:lang w:val="en-US"/>
        </w:rPr>
        <w:t xml:space="preserve"> para la </w:t>
      </w:r>
      <w:r w:rsidRPr="442EAC12" w:rsidR="45EAF685">
        <w:rPr>
          <w:noProof w:val="0"/>
          <w:lang w:val="en-US"/>
        </w:rPr>
        <w:t>nivelación</w:t>
      </w:r>
      <w:r w:rsidRPr="442EAC12" w:rsidR="45EAF685">
        <w:rPr>
          <w:noProof w:val="0"/>
          <w:lang w:val="en-US"/>
        </w:rPr>
        <w:t xml:space="preserve"> de carga </w:t>
      </w:r>
      <w:r w:rsidRPr="442EAC12" w:rsidR="45EAF685">
        <w:rPr>
          <w:noProof w:val="0"/>
          <w:lang w:val="en-US"/>
        </w:rPr>
        <w:t>eléctrica</w:t>
      </w:r>
      <w:r w:rsidRPr="442EAC12" w:rsidR="45EAF685">
        <w:rPr>
          <w:noProof w:val="0"/>
          <w:lang w:val="en-US"/>
        </w:rPr>
        <w:t xml:space="preserve"> </w:t>
      </w:r>
      <w:r w:rsidRPr="442EAC12" w:rsidR="45EAF685">
        <w:rPr>
          <w:noProof w:val="0"/>
          <w:lang w:val="en-US"/>
        </w:rPr>
        <w:t>en</w:t>
      </w:r>
      <w:r w:rsidRPr="442EAC12" w:rsidR="45EAF685">
        <w:rPr>
          <w:noProof w:val="0"/>
          <w:lang w:val="en-US"/>
        </w:rPr>
        <w:t xml:space="preserve"> </w:t>
      </w:r>
      <w:r w:rsidRPr="442EAC12" w:rsidR="45EAF685">
        <w:rPr>
          <w:noProof w:val="0"/>
          <w:lang w:val="en-US"/>
        </w:rPr>
        <w:t>edificios</w:t>
      </w:r>
      <w:r w:rsidRPr="442EAC12" w:rsidR="45EAF685">
        <w:rPr>
          <w:noProof w:val="0"/>
          <w:lang w:val="en-US"/>
        </w:rPr>
        <w:t xml:space="preserve">, </w:t>
      </w:r>
      <w:r w:rsidRPr="442EAC12" w:rsidR="45EAF685">
        <w:rPr>
          <w:noProof w:val="0"/>
          <w:lang w:val="en-US"/>
        </w:rPr>
        <w:t>el</w:t>
      </w:r>
      <w:r w:rsidRPr="442EAC12" w:rsidR="45EAF685">
        <w:rPr>
          <w:noProof w:val="0"/>
          <w:lang w:val="en-US"/>
        </w:rPr>
        <w:t xml:space="preserve"> </w:t>
      </w:r>
      <w:r w:rsidRPr="442EAC12" w:rsidR="45EAF685">
        <w:rPr>
          <w:noProof w:val="0"/>
          <w:lang w:val="en-US"/>
        </w:rPr>
        <w:t>frío</w:t>
      </w:r>
      <w:r w:rsidRPr="442EAC12" w:rsidR="45EAF685">
        <w:rPr>
          <w:noProof w:val="0"/>
          <w:lang w:val="en-US"/>
        </w:rPr>
        <w:t xml:space="preserve"> </w:t>
      </w:r>
      <w:r w:rsidRPr="442EAC12" w:rsidR="45EAF685">
        <w:rPr>
          <w:noProof w:val="0"/>
          <w:lang w:val="en-US"/>
        </w:rPr>
        <w:t>generado</w:t>
      </w:r>
      <w:r w:rsidRPr="442EAC12" w:rsidR="45EAF685">
        <w:rPr>
          <w:noProof w:val="0"/>
          <w:lang w:val="en-US"/>
        </w:rPr>
        <w:t xml:space="preserve"> </w:t>
      </w:r>
      <w:r w:rsidRPr="442EAC12" w:rsidR="45EAF685">
        <w:rPr>
          <w:noProof w:val="0"/>
          <w:lang w:val="en-US"/>
        </w:rPr>
        <w:t>durante</w:t>
      </w:r>
      <w:r w:rsidRPr="442EAC12" w:rsidR="45EAF685">
        <w:rPr>
          <w:noProof w:val="0"/>
          <w:lang w:val="en-US"/>
        </w:rPr>
        <w:t xml:space="preserve"> la </w:t>
      </w:r>
      <w:r w:rsidRPr="442EAC12" w:rsidR="45EAF685">
        <w:rPr>
          <w:noProof w:val="0"/>
          <w:lang w:val="en-US"/>
        </w:rPr>
        <w:t>desorción</w:t>
      </w:r>
      <w:r w:rsidRPr="442EAC12" w:rsidR="45EAF685">
        <w:rPr>
          <w:noProof w:val="0"/>
          <w:lang w:val="en-US"/>
        </w:rPr>
        <w:t xml:space="preserve"> de </w:t>
      </w:r>
      <w:r w:rsidRPr="442EAC12" w:rsidR="45EAF685">
        <w:rPr>
          <w:noProof w:val="0"/>
          <w:lang w:val="en-US"/>
        </w:rPr>
        <w:t>hidrógeno</w:t>
      </w:r>
      <w:r w:rsidRPr="442EAC12" w:rsidR="45EAF685">
        <w:rPr>
          <w:noProof w:val="0"/>
          <w:lang w:val="en-US"/>
        </w:rPr>
        <w:t xml:space="preserve"> se </w:t>
      </w:r>
      <w:r w:rsidRPr="442EAC12" w:rsidR="45EAF685">
        <w:rPr>
          <w:noProof w:val="0"/>
          <w:lang w:val="en-US"/>
        </w:rPr>
        <w:t>recupera</w:t>
      </w:r>
      <w:r w:rsidRPr="442EAC12" w:rsidR="45EAF685">
        <w:rPr>
          <w:noProof w:val="0"/>
          <w:lang w:val="en-US"/>
        </w:rPr>
        <w:t xml:space="preserve"> para </w:t>
      </w:r>
      <w:r w:rsidRPr="442EAC12" w:rsidR="45EAF685">
        <w:rPr>
          <w:noProof w:val="0"/>
          <w:lang w:val="en-US"/>
        </w:rPr>
        <w:t>apoyar</w:t>
      </w:r>
      <w:r w:rsidRPr="442EAC12" w:rsidR="45EAF685">
        <w:rPr>
          <w:noProof w:val="0"/>
          <w:lang w:val="en-US"/>
        </w:rPr>
        <w:t xml:space="preserve"> </w:t>
      </w:r>
      <w:r w:rsidRPr="442EAC12" w:rsidR="45EAF685">
        <w:rPr>
          <w:noProof w:val="0"/>
          <w:lang w:val="en-US"/>
        </w:rPr>
        <w:t>el</w:t>
      </w:r>
      <w:r w:rsidRPr="442EAC12" w:rsidR="45EAF685">
        <w:rPr>
          <w:noProof w:val="0"/>
          <w:lang w:val="en-US"/>
        </w:rPr>
        <w:t xml:space="preserve"> </w:t>
      </w:r>
      <w:r w:rsidRPr="442EAC12" w:rsidR="45EAF685">
        <w:rPr>
          <w:noProof w:val="0"/>
          <w:lang w:val="en-US"/>
        </w:rPr>
        <w:t>sistema</w:t>
      </w:r>
      <w:r w:rsidRPr="442EAC12" w:rsidR="45EAF685">
        <w:rPr>
          <w:noProof w:val="0"/>
          <w:lang w:val="en-US"/>
        </w:rPr>
        <w:t xml:space="preserve"> de </w:t>
      </w:r>
      <w:r w:rsidRPr="442EAC12" w:rsidR="45EAF685">
        <w:rPr>
          <w:noProof w:val="0"/>
          <w:lang w:val="en-US"/>
        </w:rPr>
        <w:t>aire</w:t>
      </w:r>
      <w:r w:rsidRPr="442EAC12" w:rsidR="45EAF685">
        <w:rPr>
          <w:noProof w:val="0"/>
          <w:lang w:val="en-US"/>
        </w:rPr>
        <w:t xml:space="preserve"> </w:t>
      </w:r>
      <w:r w:rsidRPr="442EAC12" w:rsidR="45EAF685">
        <w:rPr>
          <w:noProof w:val="0"/>
          <w:lang w:val="en-US"/>
        </w:rPr>
        <w:t>acondicionado</w:t>
      </w:r>
      <w:r w:rsidRPr="442EAC12" w:rsidR="45EAF685">
        <w:rPr>
          <w:noProof w:val="0"/>
          <w:lang w:val="en-US"/>
        </w:rPr>
        <w:t xml:space="preserve">. Su reactor, de </w:t>
      </w:r>
      <w:r w:rsidRPr="442EAC12" w:rsidR="45EAF685">
        <w:rPr>
          <w:noProof w:val="0"/>
          <w:lang w:val="en-US"/>
        </w:rPr>
        <w:t>tipo</w:t>
      </w:r>
      <w:r w:rsidRPr="442EAC12" w:rsidR="45EAF685">
        <w:rPr>
          <w:noProof w:val="0"/>
          <w:lang w:val="en-US"/>
        </w:rPr>
        <w:t xml:space="preserve"> </w:t>
      </w:r>
      <w:r w:rsidRPr="442EAC12" w:rsidR="45EAF685">
        <w:rPr>
          <w:noProof w:val="0"/>
          <w:lang w:val="en-US"/>
        </w:rPr>
        <w:t>carcasa</w:t>
      </w:r>
      <w:r w:rsidRPr="442EAC12" w:rsidR="45EAF685">
        <w:rPr>
          <w:noProof w:val="0"/>
          <w:lang w:val="en-US"/>
        </w:rPr>
        <w:t xml:space="preserve"> y </w:t>
      </w:r>
      <w:r w:rsidRPr="442EAC12" w:rsidR="45EAF685">
        <w:rPr>
          <w:noProof w:val="0"/>
          <w:lang w:val="en-US"/>
        </w:rPr>
        <w:t>tubos</w:t>
      </w:r>
      <w:r w:rsidRPr="442EAC12" w:rsidR="45EAF685">
        <w:rPr>
          <w:noProof w:val="0"/>
          <w:lang w:val="en-US"/>
        </w:rPr>
        <w:t xml:space="preserve"> con 0.8 kg de LaNi5, </w:t>
      </w:r>
      <w:r w:rsidRPr="442EAC12" w:rsidR="45EAF685">
        <w:rPr>
          <w:noProof w:val="0"/>
          <w:lang w:val="en-US"/>
        </w:rPr>
        <w:t>implementa</w:t>
      </w:r>
      <w:r w:rsidRPr="442EAC12" w:rsidR="45EAF685">
        <w:rPr>
          <w:noProof w:val="0"/>
          <w:lang w:val="en-US"/>
        </w:rPr>
        <w:t xml:space="preserve"> la </w:t>
      </w:r>
      <w:r w:rsidRPr="442EAC12" w:rsidR="45EAF685">
        <w:rPr>
          <w:noProof w:val="0"/>
          <w:lang w:val="en-US"/>
        </w:rPr>
        <w:t>estrategia</w:t>
      </w:r>
      <w:r w:rsidRPr="442EAC12" w:rsidR="45EAF685">
        <w:rPr>
          <w:noProof w:val="0"/>
          <w:lang w:val="en-US"/>
        </w:rPr>
        <w:t xml:space="preserve"> de </w:t>
      </w:r>
      <w:r w:rsidRPr="442EAC12" w:rsidR="45EAF685">
        <w:rPr>
          <w:noProof w:val="0"/>
          <w:lang w:val="en-US"/>
        </w:rPr>
        <w:t>gestión</w:t>
      </w:r>
      <w:r w:rsidRPr="442EAC12" w:rsidR="45EAF685">
        <w:rPr>
          <w:noProof w:val="0"/>
          <w:lang w:val="en-US"/>
        </w:rPr>
        <w:t xml:space="preserve"> </w:t>
      </w:r>
      <w:r w:rsidRPr="442EAC12" w:rsidR="45EAF685">
        <w:rPr>
          <w:noProof w:val="0"/>
          <w:lang w:val="en-US"/>
        </w:rPr>
        <w:t>térmica</w:t>
      </w:r>
      <w:r w:rsidRPr="442EAC12" w:rsidR="45EAF685">
        <w:rPr>
          <w:noProof w:val="0"/>
          <w:lang w:val="en-US"/>
        </w:rPr>
        <w:t xml:space="preserve"> interna </w:t>
      </w:r>
      <w:r w:rsidRPr="442EAC12" w:rsidR="45EAF685">
        <w:rPr>
          <w:noProof w:val="0"/>
          <w:lang w:val="en-US"/>
        </w:rPr>
        <w:t>necesaria</w:t>
      </w:r>
      <w:r w:rsidRPr="442EAC12" w:rsidR="45EAF685">
        <w:rPr>
          <w:noProof w:val="0"/>
          <w:lang w:val="en-US"/>
        </w:rPr>
        <w:t xml:space="preserve"> para </w:t>
      </w:r>
      <w:r w:rsidRPr="442EAC12" w:rsidR="45EAF685">
        <w:rPr>
          <w:noProof w:val="0"/>
          <w:lang w:val="en-US"/>
        </w:rPr>
        <w:t>operar</w:t>
      </w:r>
      <w:r w:rsidRPr="442EAC12" w:rsidR="45EAF685">
        <w:rPr>
          <w:noProof w:val="0"/>
          <w:lang w:val="en-US"/>
        </w:rPr>
        <w:t xml:space="preserve"> </w:t>
      </w:r>
      <w:r w:rsidRPr="442EAC12" w:rsidR="45EAF685">
        <w:rPr>
          <w:noProof w:val="0"/>
          <w:lang w:val="en-US"/>
        </w:rPr>
        <w:t>en</w:t>
      </w:r>
      <w:r w:rsidRPr="442EAC12" w:rsidR="45EAF685">
        <w:rPr>
          <w:noProof w:val="0"/>
          <w:lang w:val="en-US"/>
        </w:rPr>
        <w:t xml:space="preserve"> </w:t>
      </w:r>
      <w:r w:rsidRPr="442EAC12" w:rsidR="45EAF685">
        <w:rPr>
          <w:noProof w:val="0"/>
          <w:lang w:val="en-US"/>
        </w:rPr>
        <w:t>ciclos</w:t>
      </w:r>
      <w:r w:rsidRPr="442EAC12" w:rsidR="45EAF685">
        <w:rPr>
          <w:noProof w:val="0"/>
          <w:lang w:val="en-US"/>
        </w:rPr>
        <w:t xml:space="preserve"> </w:t>
      </w:r>
      <w:r w:rsidRPr="442EAC12" w:rsidR="45EAF685">
        <w:rPr>
          <w:noProof w:val="0"/>
          <w:lang w:val="en-US"/>
        </w:rPr>
        <w:t>diarios</w:t>
      </w:r>
      <w:r w:rsidRPr="442EAC12" w:rsidR="45EAF685">
        <w:rPr>
          <w:noProof w:val="0"/>
          <w:lang w:val="en-US"/>
        </w:rPr>
        <w:t xml:space="preserve">. El </w:t>
      </w:r>
      <w:r w:rsidRPr="442EAC12" w:rsidR="45EAF685">
        <w:rPr>
          <w:noProof w:val="0"/>
          <w:lang w:val="en-US"/>
        </w:rPr>
        <w:t>sistema</w:t>
      </w:r>
      <w:r w:rsidRPr="442EAC12" w:rsidR="45EAF685">
        <w:rPr>
          <w:noProof w:val="0"/>
          <w:lang w:val="en-US"/>
        </w:rPr>
        <w:t xml:space="preserve"> </w:t>
      </w:r>
      <w:r w:rsidRPr="442EAC12" w:rsidR="45EAF685">
        <w:rPr>
          <w:noProof w:val="0"/>
          <w:lang w:val="en-US"/>
        </w:rPr>
        <w:t>logró</w:t>
      </w:r>
      <w:r w:rsidRPr="442EAC12" w:rsidR="45EAF685">
        <w:rPr>
          <w:noProof w:val="0"/>
          <w:lang w:val="en-US"/>
        </w:rPr>
        <w:t xml:space="preserve"> </w:t>
      </w:r>
      <w:r w:rsidRPr="442EAC12" w:rsidR="45EAF685">
        <w:rPr>
          <w:noProof w:val="0"/>
          <w:lang w:val="en-US"/>
        </w:rPr>
        <w:t>una</w:t>
      </w:r>
      <w:r w:rsidRPr="442EAC12" w:rsidR="45EAF685">
        <w:rPr>
          <w:noProof w:val="0"/>
          <w:lang w:val="en-US"/>
        </w:rPr>
        <w:t xml:space="preserve"> </w:t>
      </w:r>
      <w:r w:rsidRPr="442EAC12" w:rsidR="45EAF685">
        <w:rPr>
          <w:noProof w:val="0"/>
          <w:lang w:val="en-US"/>
        </w:rPr>
        <w:t>recuperación</w:t>
      </w:r>
      <w:r w:rsidRPr="442EAC12" w:rsidR="45EAF685">
        <w:rPr>
          <w:noProof w:val="0"/>
          <w:lang w:val="en-US"/>
        </w:rPr>
        <w:t xml:space="preserve"> de la </w:t>
      </w:r>
      <w:r w:rsidRPr="442EAC12" w:rsidR="45EAF685">
        <w:rPr>
          <w:noProof w:val="0"/>
          <w:lang w:val="en-US"/>
        </w:rPr>
        <w:t>energía</w:t>
      </w:r>
      <w:r w:rsidRPr="442EAC12" w:rsidR="45EAF685">
        <w:rPr>
          <w:noProof w:val="0"/>
          <w:lang w:val="en-US"/>
        </w:rPr>
        <w:t xml:space="preserve"> </w:t>
      </w:r>
      <w:r w:rsidRPr="442EAC12" w:rsidR="45EAF685">
        <w:rPr>
          <w:noProof w:val="0"/>
          <w:lang w:val="en-US"/>
        </w:rPr>
        <w:t>térmica</w:t>
      </w:r>
      <w:r w:rsidRPr="442EAC12" w:rsidR="45EAF685">
        <w:rPr>
          <w:noProof w:val="0"/>
          <w:lang w:val="en-US"/>
        </w:rPr>
        <w:t xml:space="preserve"> del 43.2% y </w:t>
      </w:r>
      <w:r w:rsidRPr="442EAC12" w:rsidR="45EAF685">
        <w:rPr>
          <w:noProof w:val="0"/>
          <w:lang w:val="en-US"/>
        </w:rPr>
        <w:t>una</w:t>
      </w:r>
      <w:r w:rsidRPr="442EAC12" w:rsidR="45EAF685">
        <w:rPr>
          <w:noProof w:val="0"/>
          <w:lang w:val="en-US"/>
        </w:rPr>
        <w:t xml:space="preserve"> </w:t>
      </w:r>
      <w:r w:rsidRPr="442EAC12" w:rsidR="45EAF685">
        <w:rPr>
          <w:noProof w:val="0"/>
          <w:lang w:val="en-US"/>
        </w:rPr>
        <w:t>eficiencia</w:t>
      </w:r>
      <w:r w:rsidRPr="442EAC12" w:rsidR="45EAF685">
        <w:rPr>
          <w:noProof w:val="0"/>
          <w:lang w:val="en-US"/>
        </w:rPr>
        <w:t xml:space="preserve"> global del </w:t>
      </w:r>
      <w:r w:rsidRPr="442EAC12" w:rsidR="45EAF685">
        <w:rPr>
          <w:noProof w:val="0"/>
          <w:lang w:val="en-US"/>
        </w:rPr>
        <w:t>ciclo</w:t>
      </w:r>
      <w:r w:rsidRPr="442EAC12" w:rsidR="45EAF685">
        <w:rPr>
          <w:noProof w:val="0"/>
          <w:lang w:val="en-US"/>
        </w:rPr>
        <w:t xml:space="preserve"> (round-trip) entre 35-45%, un </w:t>
      </w:r>
      <w:r w:rsidRPr="442EAC12" w:rsidR="45EAF685">
        <w:rPr>
          <w:noProof w:val="0"/>
          <w:lang w:val="en-US"/>
        </w:rPr>
        <w:t>avance</w:t>
      </w:r>
      <w:r w:rsidRPr="442EAC12" w:rsidR="45EAF685">
        <w:rPr>
          <w:noProof w:val="0"/>
          <w:lang w:val="en-US"/>
        </w:rPr>
        <w:t xml:space="preserve"> </w:t>
      </w:r>
      <w:r w:rsidRPr="442EAC12" w:rsidR="45EAF685">
        <w:rPr>
          <w:noProof w:val="0"/>
          <w:lang w:val="en-US"/>
        </w:rPr>
        <w:t>significativo</w:t>
      </w:r>
      <w:r w:rsidRPr="442EAC12" w:rsidR="45EAF685">
        <w:rPr>
          <w:noProof w:val="0"/>
          <w:lang w:val="en-US"/>
        </w:rPr>
        <w:t xml:space="preserve"> </w:t>
      </w:r>
      <w:r w:rsidRPr="442EAC12" w:rsidR="45EAF685">
        <w:rPr>
          <w:noProof w:val="0"/>
          <w:lang w:val="en-US"/>
        </w:rPr>
        <w:t>que</w:t>
      </w:r>
      <w:r w:rsidRPr="442EAC12" w:rsidR="45EAF685">
        <w:rPr>
          <w:noProof w:val="0"/>
          <w:lang w:val="en-US"/>
        </w:rPr>
        <w:t xml:space="preserve">, sin embargo, también </w:t>
      </w:r>
      <w:r w:rsidRPr="442EAC12" w:rsidR="45EAF685">
        <w:rPr>
          <w:noProof w:val="0"/>
          <w:lang w:val="en-US"/>
        </w:rPr>
        <w:t>evidencia</w:t>
      </w:r>
      <w:r w:rsidRPr="442EAC12" w:rsidR="45EAF685">
        <w:rPr>
          <w:noProof w:val="0"/>
          <w:lang w:val="en-US"/>
        </w:rPr>
        <w:t xml:space="preserve"> la </w:t>
      </w:r>
      <w:r w:rsidRPr="442EAC12" w:rsidR="45EAF685">
        <w:rPr>
          <w:noProof w:val="0"/>
          <w:lang w:val="en-US"/>
        </w:rPr>
        <w:t>complejidad</w:t>
      </w:r>
      <w:r w:rsidRPr="442EAC12" w:rsidR="45EAF685">
        <w:rPr>
          <w:noProof w:val="0"/>
          <w:lang w:val="en-US"/>
        </w:rPr>
        <w:t xml:space="preserve"> de </w:t>
      </w:r>
      <w:r w:rsidRPr="442EAC12" w:rsidR="45EAF685">
        <w:rPr>
          <w:noProof w:val="0"/>
          <w:lang w:val="en-US"/>
        </w:rPr>
        <w:t>alcanzar</w:t>
      </w:r>
      <w:r w:rsidRPr="442EAC12" w:rsidR="45EAF685">
        <w:rPr>
          <w:noProof w:val="0"/>
          <w:lang w:val="en-US"/>
        </w:rPr>
        <w:t xml:space="preserve"> </w:t>
      </w:r>
      <w:r w:rsidRPr="442EAC12" w:rsidR="45EAF685">
        <w:rPr>
          <w:noProof w:val="0"/>
          <w:lang w:val="en-US"/>
        </w:rPr>
        <w:t>una</w:t>
      </w:r>
      <w:r w:rsidRPr="442EAC12" w:rsidR="45EAF685">
        <w:rPr>
          <w:noProof w:val="0"/>
          <w:lang w:val="en-US"/>
        </w:rPr>
        <w:t xml:space="preserve"> </w:t>
      </w:r>
      <w:r w:rsidRPr="442EAC12" w:rsidR="45EAF685">
        <w:rPr>
          <w:noProof w:val="0"/>
          <w:lang w:val="en-US"/>
        </w:rPr>
        <w:t>eficiencia</w:t>
      </w:r>
      <w:r w:rsidRPr="442EAC12" w:rsidR="45EAF685">
        <w:rPr>
          <w:noProof w:val="0"/>
          <w:lang w:val="en-US"/>
        </w:rPr>
        <w:t xml:space="preserve"> total </w:t>
      </w:r>
      <w:r w:rsidRPr="442EAC12" w:rsidR="45EAF685">
        <w:rPr>
          <w:noProof w:val="0"/>
          <w:lang w:val="en-US"/>
        </w:rPr>
        <w:t>en</w:t>
      </w:r>
      <w:r w:rsidRPr="442EAC12" w:rsidR="45EAF685">
        <w:rPr>
          <w:noProof w:val="0"/>
          <w:lang w:val="en-US"/>
        </w:rPr>
        <w:t xml:space="preserve"> </w:t>
      </w:r>
      <w:r w:rsidRPr="442EAC12" w:rsidR="45EAF685">
        <w:rPr>
          <w:noProof w:val="0"/>
          <w:lang w:val="en-US"/>
        </w:rPr>
        <w:t>sistemas</w:t>
      </w:r>
      <w:r w:rsidRPr="442EAC12" w:rsidR="45EAF685">
        <w:rPr>
          <w:noProof w:val="0"/>
          <w:lang w:val="en-US"/>
        </w:rPr>
        <w:t xml:space="preserve"> reales, </w:t>
      </w:r>
      <w:r w:rsidRPr="442EAC12" w:rsidR="45EAF685">
        <w:rPr>
          <w:noProof w:val="0"/>
          <w:lang w:val="en-US"/>
        </w:rPr>
        <w:t>subrayando</w:t>
      </w:r>
      <w:r w:rsidRPr="442EAC12" w:rsidR="45EAF685">
        <w:rPr>
          <w:noProof w:val="0"/>
          <w:lang w:val="en-US"/>
        </w:rPr>
        <w:t xml:space="preserve"> </w:t>
      </w:r>
      <w:r w:rsidRPr="442EAC12" w:rsidR="45EAF685">
        <w:rPr>
          <w:noProof w:val="0"/>
          <w:lang w:val="en-US"/>
        </w:rPr>
        <w:t>que</w:t>
      </w:r>
      <w:r w:rsidRPr="442EAC12" w:rsidR="45EAF685">
        <w:rPr>
          <w:noProof w:val="0"/>
          <w:lang w:val="en-US"/>
        </w:rPr>
        <w:t xml:space="preserve"> la </w:t>
      </w:r>
      <w:r w:rsidRPr="442EAC12" w:rsidR="45EAF685">
        <w:rPr>
          <w:noProof w:val="0"/>
          <w:lang w:val="en-US"/>
        </w:rPr>
        <w:t>optimización</w:t>
      </w:r>
      <w:r w:rsidRPr="442EAC12" w:rsidR="45EAF685">
        <w:rPr>
          <w:noProof w:val="0"/>
          <w:lang w:val="en-US"/>
        </w:rPr>
        <w:t xml:space="preserve"> completa </w:t>
      </w:r>
      <w:r w:rsidRPr="442EAC12" w:rsidR="45EAF685">
        <w:rPr>
          <w:noProof w:val="0"/>
          <w:lang w:val="en-US"/>
        </w:rPr>
        <w:t>sigue</w:t>
      </w:r>
      <w:r w:rsidRPr="442EAC12" w:rsidR="45EAF685">
        <w:rPr>
          <w:noProof w:val="0"/>
          <w:lang w:val="en-US"/>
        </w:rPr>
        <w:t xml:space="preserve"> </w:t>
      </w:r>
      <w:r w:rsidRPr="442EAC12" w:rsidR="45EAF685">
        <w:rPr>
          <w:noProof w:val="0"/>
          <w:lang w:val="en-US"/>
        </w:rPr>
        <w:t>siendo</w:t>
      </w:r>
      <w:r w:rsidRPr="442EAC12" w:rsidR="45EAF685">
        <w:rPr>
          <w:noProof w:val="0"/>
          <w:lang w:val="en-US"/>
        </w:rPr>
        <w:t xml:space="preserve"> un </w:t>
      </w:r>
      <w:r w:rsidRPr="442EAC12" w:rsidR="45EAF685">
        <w:rPr>
          <w:noProof w:val="0"/>
          <w:lang w:val="en-US"/>
        </w:rPr>
        <w:t>desafío</w:t>
      </w:r>
      <w:r w:rsidRPr="442EAC12" w:rsidR="45EAF685">
        <w:rPr>
          <w:noProof w:val="0"/>
          <w:lang w:val="en-US"/>
        </w:rPr>
        <w:t xml:space="preserve">. </w:t>
      </w:r>
      <w:r w:rsidRPr="442EAC12" w:rsidR="22B4BE33">
        <w:rPr>
          <w:noProof w:val="0"/>
          <w:lang w:val="en-US"/>
        </w:rPr>
        <w:t>[1]</w:t>
      </w:r>
    </w:p>
    <w:p w:rsidR="215C4564" w:rsidP="442EAC12" w:rsidRDefault="215C4564" w14:paraId="76F5ECEA" w14:textId="190D6077">
      <w:pPr>
        <w:pStyle w:val="Normal"/>
        <w:spacing w:before="119" w:beforeAutospacing="off" w:after="119" w:afterAutospacing="off" w:line="240" w:lineRule="auto"/>
        <w:jc w:val="center"/>
      </w:pPr>
      <w:r w:rsidR="14117075">
        <w:drawing>
          <wp:inline wp14:editId="2A2CBD06" wp14:anchorId="662A2B6D">
            <wp:extent cx="3304542" cy="1820299"/>
            <wp:effectExtent l="0" t="0" r="0" b="0"/>
            <wp:docPr id="8073307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7330757" name="Picture 807330757"/>
                    <pic:cNvPicPr/>
                  </pic:nvPicPr>
                  <pic:blipFill>
                    <a:blip xmlns:r="http://schemas.openxmlformats.org/officeDocument/2006/relationships" r:embed="rId518418560">
                      <a:extLst>
                        <a:ext uri="{28A0092B-C50C-407E-A947-70E740481C1C}">
                          <a14:useLocalDpi xmlns:a14="http://schemas.microsoft.com/office/drawing/2010/main"/>
                        </a:ext>
                      </a:extLst>
                    </a:blip>
                    <a:stretch>
                      <a:fillRect/>
                    </a:stretch>
                  </pic:blipFill>
                  <pic:spPr>
                    <a:xfrm rot="0">
                      <a:off x="0" y="0"/>
                      <a:ext cx="3304542" cy="1820299"/>
                    </a:xfrm>
                    <a:prstGeom prst="rect">
                      <a:avLst/>
                    </a:prstGeom>
                  </pic:spPr>
                </pic:pic>
              </a:graphicData>
            </a:graphic>
          </wp:inline>
        </w:drawing>
      </w:r>
      <w:r>
        <w:br/>
      </w:r>
      <w:r w:rsidRPr="442EAC12" w:rsidR="14117075">
        <w:rPr>
          <w:rFonts w:ascii="Arial Narrow" w:hAnsi="Arial Narrow" w:eastAsia="Arial Narrow" w:cs="Arial Narrow"/>
          <w:i w:val="1"/>
          <w:iCs w:val="1"/>
          <w:noProof w:val="0"/>
          <w:color w:val="000000" w:themeColor="text1" w:themeTint="FF" w:themeShade="FF"/>
          <w:sz w:val="24"/>
          <w:szCs w:val="24"/>
          <w:lang w:val="en-US"/>
        </w:rPr>
        <w:t xml:space="preserve">Figura </w:t>
      </w:r>
      <w:r>
        <w:tab/>
      </w:r>
      <w:r w:rsidRPr="442EAC12" w:rsidR="14117075">
        <w:rPr>
          <w:rFonts w:ascii="Arial Narrow" w:hAnsi="Arial Narrow" w:eastAsia="Arial Narrow" w:cs="Arial Narrow"/>
          <w:i w:val="1"/>
          <w:iCs w:val="1"/>
          <w:noProof w:val="0"/>
          <w:color w:val="000000" w:themeColor="text1" w:themeTint="FF" w:themeShade="FF"/>
          <w:sz w:val="24"/>
          <w:szCs w:val="24"/>
          <w:lang w:val="en-US"/>
        </w:rPr>
        <w:t xml:space="preserve">4: Sistema </w:t>
      </w:r>
      <w:r w:rsidRPr="442EAC12" w:rsidR="14117075">
        <w:rPr>
          <w:rFonts w:ascii="Arial Narrow" w:hAnsi="Arial Narrow" w:eastAsia="Arial Narrow" w:cs="Arial Narrow"/>
          <w:i w:val="1"/>
          <w:iCs w:val="1"/>
          <w:noProof w:val="0"/>
          <w:color w:val="000000" w:themeColor="text1" w:themeTint="FF" w:themeShade="FF"/>
          <w:sz w:val="24"/>
          <w:szCs w:val="24"/>
          <w:lang w:val="en-US"/>
        </w:rPr>
        <w:t>Totalizado</w:t>
      </w:r>
      <w:r w:rsidRPr="442EAC12" w:rsidR="14117075">
        <w:rPr>
          <w:rFonts w:ascii="Arial Narrow" w:hAnsi="Arial Narrow" w:eastAsia="Arial Narrow" w:cs="Arial Narrow"/>
          <w:i w:val="1"/>
          <w:iCs w:val="1"/>
          <w:noProof w:val="0"/>
          <w:color w:val="000000" w:themeColor="text1" w:themeTint="FF" w:themeShade="FF"/>
          <w:sz w:val="24"/>
          <w:szCs w:val="24"/>
          <w:lang w:val="en-US"/>
        </w:rPr>
        <w:t xml:space="preserve"> de </w:t>
      </w:r>
      <w:r w:rsidRPr="442EAC12" w:rsidR="14117075">
        <w:rPr>
          <w:rFonts w:ascii="Arial Narrow" w:hAnsi="Arial Narrow" w:eastAsia="Arial Narrow" w:cs="Arial Narrow"/>
          <w:i w:val="1"/>
          <w:iCs w:val="1"/>
          <w:noProof w:val="0"/>
          <w:color w:val="000000" w:themeColor="text1" w:themeTint="FF" w:themeShade="FF"/>
          <w:sz w:val="24"/>
          <w:szCs w:val="24"/>
          <w:lang w:val="en-US"/>
        </w:rPr>
        <w:t>Utilización</w:t>
      </w:r>
      <w:r w:rsidRPr="442EAC12" w:rsidR="14117075">
        <w:rPr>
          <w:rFonts w:ascii="Arial Narrow" w:hAnsi="Arial Narrow" w:eastAsia="Arial Narrow" w:cs="Arial Narrow"/>
          <w:i w:val="1"/>
          <w:iCs w:val="1"/>
          <w:noProof w:val="0"/>
          <w:color w:val="000000" w:themeColor="text1" w:themeTint="FF" w:themeShade="FF"/>
          <w:sz w:val="24"/>
          <w:szCs w:val="24"/>
          <w:lang w:val="en-US"/>
        </w:rPr>
        <w:t xml:space="preserve"> de Energía de </w:t>
      </w:r>
      <w:r w:rsidRPr="442EAC12" w:rsidR="14117075">
        <w:rPr>
          <w:rFonts w:ascii="Arial Narrow" w:hAnsi="Arial Narrow" w:eastAsia="Arial Narrow" w:cs="Arial Narrow"/>
          <w:i w:val="1"/>
          <w:iCs w:val="1"/>
          <w:noProof w:val="0"/>
          <w:color w:val="000000" w:themeColor="text1" w:themeTint="FF" w:themeShade="FF"/>
          <w:sz w:val="24"/>
          <w:szCs w:val="24"/>
          <w:lang w:val="en-US"/>
        </w:rPr>
        <w:t>Hidrógeno</w:t>
      </w:r>
      <w:r w:rsidRPr="442EAC12" w:rsidR="14117075">
        <w:rPr>
          <w:rFonts w:ascii="Arial Narrow" w:hAnsi="Arial Narrow" w:eastAsia="Arial Narrow" w:cs="Arial Narrow"/>
          <w:i w:val="1"/>
          <w:iCs w:val="1"/>
          <w:noProof w:val="0"/>
          <w:color w:val="000000" w:themeColor="text1" w:themeTint="FF" w:themeShade="FF"/>
          <w:sz w:val="24"/>
          <w:szCs w:val="24"/>
          <w:lang w:val="en-US"/>
        </w:rPr>
        <w:t xml:space="preserve"> </w:t>
      </w:r>
      <w:r>
        <w:tab/>
      </w:r>
      <w:r w:rsidRPr="442EAC12" w:rsidR="14117075">
        <w:rPr>
          <w:rFonts w:ascii="Arial Narrow" w:hAnsi="Arial Narrow" w:eastAsia="Arial Narrow" w:cs="Arial Narrow"/>
          <w:i w:val="1"/>
          <w:iCs w:val="1"/>
          <w:noProof w:val="0"/>
          <w:color w:val="000000" w:themeColor="text1" w:themeTint="FF" w:themeShade="FF"/>
          <w:sz w:val="24"/>
          <w:szCs w:val="24"/>
          <w:lang w:val="en-US"/>
        </w:rPr>
        <w:t>(THEUS)</w:t>
      </w:r>
      <w:r w:rsidRPr="442EAC12" w:rsidR="30B1E735">
        <w:rPr>
          <w:rFonts w:ascii="Arial Narrow" w:hAnsi="Arial Narrow" w:eastAsia="Arial Narrow" w:cs="Arial Narrow"/>
          <w:i w:val="1"/>
          <w:iCs w:val="1"/>
          <w:noProof w:val="0"/>
          <w:color w:val="000000" w:themeColor="text1" w:themeTint="FF" w:themeShade="FF"/>
          <w:sz w:val="24"/>
          <w:szCs w:val="24"/>
          <w:lang w:val="en-US"/>
        </w:rPr>
        <w:t xml:space="preserve"> </w:t>
      </w:r>
      <w:r w:rsidRPr="442EAC12" w:rsidR="30B1E735">
        <w:rPr>
          <w:rFonts w:ascii="Arial Narrow" w:hAnsi="Arial Narrow" w:eastAsia="Arial Narrow" w:cs="Arial Narrow"/>
          <w:noProof w:val="0"/>
          <w:color w:val="000000" w:themeColor="text1" w:themeTint="FF" w:themeShade="FF"/>
          <w:sz w:val="24"/>
          <w:szCs w:val="24"/>
          <w:lang w:val="en-US"/>
        </w:rPr>
        <w:t>[1]</w:t>
      </w:r>
    </w:p>
    <w:p w:rsidR="215C4564" w:rsidP="1044EAB6" w:rsidRDefault="215C4564" w14:paraId="62A495EA" w14:textId="41928A94">
      <w:pPr>
        <w:pStyle w:val="Normal"/>
      </w:pPr>
    </w:p>
    <w:p w:rsidR="1B860E06" w:rsidP="442EAC12" w:rsidRDefault="1B860E06" w14:paraId="5C458DBF" w14:textId="63897502">
      <w:pPr>
        <w:pStyle w:val="Normal"/>
      </w:pPr>
      <w:r w:rsidR="1B860E06">
        <w:rPr/>
        <w:t xml:space="preserve">Más allá de los desafíos de integración a nivel de sistema, el escalado de reactores de un solo tanque introduce un problema intrínseco de naturaleza mecánica que agrava las dificultades térmicas. En su revisión sobre el escalado de hidruros metálicos, Jensen et al. destacan el fenómeno de la </w:t>
      </w:r>
      <w:r w:rsidR="1B860E06">
        <w:rPr/>
        <w:t>autodensificación</w:t>
      </w:r>
      <w:r w:rsidR="1B860E06">
        <w:rPr/>
        <w:t>. Durante los ciclos repetidos de absorción y desorción, la pulverización natural del material, combinada con la gravedad, provoca que el polvo de hidruro se compacte progresivamente en el fondo del reactor.</w:t>
      </w:r>
      <w:r w:rsidRPr="442EAC12" w:rsidR="3243DFFB">
        <w:rPr>
          <w:noProof w:val="0"/>
          <w:lang w:val="es-CO"/>
        </w:rPr>
        <w:t xml:space="preserve"> [7]</w:t>
      </w:r>
    </w:p>
    <w:p w:rsidR="1B860E06" w:rsidP="442EAC12" w:rsidRDefault="1B860E06" w14:paraId="5114B072" w14:textId="3AA1FBEC">
      <w:pPr>
        <w:pStyle w:val="Normal"/>
      </w:pPr>
      <w:r w:rsidR="1B860E06">
        <w:rPr/>
        <w:t xml:space="preserve">Esta compactación no solo reduce la porosidad y bloquea las vías de difusión del hidrógeno, sino que también aísla térmicamente el material en las zonas inferiores, creando </w:t>
      </w:r>
      <w:r w:rsidR="71A7F618">
        <w:rPr/>
        <w:t xml:space="preserve">de no trabajo </w:t>
      </w:r>
      <w:r w:rsidR="1B860E06">
        <w:rPr/>
        <w:t>a las que ni el gas ni el calor pueden llegar eficientemente. El resultado es una degradación progresiva tanto de la capacidad de almacenamiento accesible como de la cinética de reacción, un problema que se agrava en tanques de mayor tamaño. Este fenómeno constituye, por tanto, un argumento fundamental en contra de los diseños monolíticos y a favor de arquitecturas modulares que utilizan múltiples tanques</w:t>
      </w:r>
      <w:r w:rsidR="66361C5E">
        <w:rPr/>
        <w:t xml:space="preserve"> (modulares)</w:t>
      </w:r>
      <w:r w:rsidR="1B860E06">
        <w:rPr/>
        <w:t xml:space="preserve"> más pequeños para mitigar este efecto.</w:t>
      </w:r>
      <w:r w:rsidRPr="442EAC12" w:rsidR="6F13E3EC">
        <w:rPr>
          <w:noProof w:val="0"/>
          <w:lang w:val="es-CO"/>
        </w:rPr>
        <w:t xml:space="preserve"> [7]</w:t>
      </w:r>
    </w:p>
    <w:p w:rsidR="0562725C" w:rsidP="442EAC12" w:rsidRDefault="0562725C" w14:paraId="77BFFE35" w14:textId="183880E1">
      <w:pPr>
        <w:pStyle w:val="Normal"/>
      </w:pPr>
      <w:r w:rsidR="0562725C">
        <w:rPr/>
        <w:t xml:space="preserve">En la vanguardia de las soluciones ingenieriles, el estudio numérico de Ji et al. (2026) sobre un reactor modular a gran escala de 400 kg establece un nuevo estándar en la gestión térmica de alta capacidad. Como se ilustra en la Figura 5, este diseño implementa una arquitectura de doble recipiente en paralelo que integra un sistema de intercambio de calor híbrido: un tubo interno aleteado para la extracción rápida del calor en el núcleo del lecho y un serpentín helicoidal externo para la refrigeración periférica. Esta configuración híbrida supera las limitaciones de los diseños convencionales, logrando una reducción del tiempo de hidrogenación superior al 40% en comparación con sistemas de refrigeración simple. El análisis demuestra que la combinación sinérgica de convección interna y externa permite mantener la temperatura del lecho por debajo de los 353 K (80 °C) incluso durante los picos de reacción exotérmica, evitando así el bloqueo termodinámico que típicamente limita a los reactores de gran diámetro. Este enfoque de doble circuito no solo resuelve el problema de la formación de núcleos calientes, sino </w:t>
      </w:r>
      <w:r w:rsidR="0562725C">
        <w:rPr/>
        <w:t>que</w:t>
      </w:r>
      <w:r w:rsidR="0562725C">
        <w:rPr/>
        <w:t xml:space="preserve"> valida la viabilidad operativa de módulos de 200 kg unitarios, confirmando que la distribución estratégica de las superficies de intercambio es más efectiva que el simple aumento del caudal de refrigerante. </w:t>
      </w:r>
      <w:r w:rsidR="7151914C">
        <w:rPr/>
        <w:t>[</w:t>
      </w:r>
      <w:r w:rsidR="4812C056">
        <w:rPr/>
        <w:t>8</w:t>
      </w:r>
      <w:r w:rsidR="7151914C">
        <w:rPr/>
        <w:t>]</w:t>
      </w:r>
    </w:p>
    <w:p w:rsidR="7151914C" w:rsidP="442EAC12" w:rsidRDefault="7151914C" w14:paraId="627F860B" w14:textId="5E912577">
      <w:pPr>
        <w:pStyle w:val="Normal"/>
      </w:pPr>
    </w:p>
    <w:p w:rsidR="7151914C" w:rsidP="442EAC12" w:rsidRDefault="7151914C" w14:paraId="67E8C4F1" w14:textId="030BDC13">
      <w:pPr>
        <w:pStyle w:val="Normal"/>
        <w:jc w:val="center"/>
      </w:pPr>
      <w:r w:rsidR="7151914C">
        <w:drawing>
          <wp:inline wp14:editId="2A2A2063" wp14:anchorId="507C1537">
            <wp:extent cx="5067300" cy="2155750"/>
            <wp:effectExtent l="0" t="0" r="0" b="0"/>
            <wp:docPr id="358195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8195204" name="Picture 358195204"/>
                    <pic:cNvPicPr/>
                  </pic:nvPicPr>
                  <pic:blipFill>
                    <a:blip xmlns:r="http://schemas.openxmlformats.org/officeDocument/2006/relationships" r:embed="rId1602143575">
                      <a:extLst>
                        <a:ext uri="{28A0092B-C50C-407E-A947-70E740481C1C}">
                          <a14:useLocalDpi xmlns:a14="http://schemas.microsoft.com/office/drawing/2010/main"/>
                        </a:ext>
                      </a:extLst>
                    </a:blip>
                    <a:stretch>
                      <a:fillRect/>
                    </a:stretch>
                  </pic:blipFill>
                  <pic:spPr>
                    <a:xfrm rot="0">
                      <a:off x="0" y="0"/>
                      <a:ext cx="5067300" cy="2155750"/>
                    </a:xfrm>
                    <a:prstGeom prst="rect">
                      <a:avLst/>
                    </a:prstGeom>
                  </pic:spPr>
                </pic:pic>
              </a:graphicData>
            </a:graphic>
          </wp:inline>
        </w:drawing>
      </w:r>
      <w:r>
        <w:br/>
      </w:r>
      <w:r w:rsidR="7151914C">
        <w:rPr/>
        <w:t xml:space="preserve">Figura </w:t>
      </w:r>
      <w:r>
        <w:tab/>
      </w:r>
      <w:r w:rsidR="7151914C">
        <w:rPr/>
        <w:t xml:space="preserve">5: </w:t>
      </w:r>
      <w:r w:rsidR="1A12953D">
        <w:rPr/>
        <w:t>Montaje experimental del reactor modular de hidruro metálico a gran escala (400 kg por recipiente) estudiado por Ji et al. (2026). Se aprecia el diseño de doble recipiente en paralelo y el prominente intercambiador de calor externo de serpentín helicoidal. [</w:t>
      </w:r>
      <w:r w:rsidR="74929134">
        <w:rPr/>
        <w:t>8</w:t>
      </w:r>
      <w:r w:rsidR="1A12953D">
        <w:rPr/>
        <w:t>]</w:t>
      </w:r>
    </w:p>
    <w:p w:rsidR="1F74776E" w:rsidP="442EAC12" w:rsidRDefault="1F74776E" w14:paraId="71CD1B04" w14:textId="5C50EEA9">
      <w:pPr>
        <w:pStyle w:val="Normal"/>
      </w:pPr>
      <w:r w:rsidR="1F74776E">
        <w:rPr/>
        <w:t xml:space="preserve">De este modo, se evidencia que los desafíos térmicos y mecánicos están intrínsecamente ligados. La gestión del </w:t>
      </w:r>
      <w:r w:rsidR="7C84C6EA">
        <w:rPr/>
        <w:t>calor</w:t>
      </w:r>
      <w:r w:rsidR="1F74776E">
        <w:rPr/>
        <w:t xml:space="preserve"> ya sea mediante intercambiadores o a través de un diseño modular</w:t>
      </w:r>
      <w:r w:rsidR="1F74776E">
        <w:rPr/>
        <w:t>, es el requisito de funcionamiento fundamental que define la viabilidad y la durabilidad de</w:t>
      </w:r>
      <w:r w:rsidR="3FA51B25">
        <w:rPr/>
        <w:t>l</w:t>
      </w:r>
      <w:r w:rsidR="1F74776E">
        <w:rPr/>
        <w:t xml:space="preserve"> sistema de almacenamiento basado en hidruros metálicos</w:t>
      </w:r>
    </w:p>
    <w:p w:rsidR="615AFC55" w:rsidP="37F47B7A" w:rsidRDefault="615AFC55" w14:paraId="49C6EA36" w14:textId="240847E1">
      <w:pPr>
        <w:pStyle w:val="Heading2"/>
        <w:ind w:left="1284" w:hanging="576"/>
        <w:rPr/>
      </w:pPr>
      <w:bookmarkStart w:name="_Toc481549353" w:id="437904700"/>
      <w:r w:rsidR="05BE7A6E">
        <w:rPr/>
        <w:t>Gestión</w:t>
      </w:r>
      <w:r w:rsidR="7DD5F099">
        <w:rPr/>
        <w:t xml:space="preserve"> de calor en Reactores de hidruros </w:t>
      </w:r>
      <w:r w:rsidR="543699F7">
        <w:rPr/>
        <w:t>metálicos</w:t>
      </w:r>
      <w:r w:rsidR="7DD5F099">
        <w:rPr/>
        <w:t xml:space="preserve"> (MHR)</w:t>
      </w:r>
      <w:bookmarkEnd w:id="437904700"/>
    </w:p>
    <w:p w:rsidR="3DC989E5" w:rsidP="442EAC12" w:rsidRDefault="3DC989E5" w14:paraId="44A26F02" w14:textId="77D14615">
      <w:pPr>
        <w:pStyle w:val="Normal"/>
        <w:rPr>
          <w:noProof w:val="0"/>
          <w:lang w:val="es-CO"/>
        </w:rPr>
      </w:pPr>
      <w:r w:rsidRPr="442EAC12" w:rsidR="3DC989E5">
        <w:rPr>
          <w:noProof w:val="0"/>
          <w:lang w:val="es-CO"/>
        </w:rPr>
        <w:t>La eficiencia en la absorción y desorción de hidrógeno en reactores de hidruros metálicos (MH) está intrínsecamente ligada a la capacidad del sistema para gestionar el calor de reacción. Las soluciones de ingeniería térmica se pueden clasificar en dos enfoques principales, que a menudo se combinan para crear diseños híbridos.</w:t>
      </w:r>
    </w:p>
    <w:p w:rsidR="3DC989E5" w:rsidP="442EAC12" w:rsidRDefault="3DC989E5" w14:paraId="572DA29B" w14:textId="2EEC359A">
      <w:pPr>
        <w:pStyle w:val="Normal"/>
        <w:rPr>
          <w:noProof w:val="0"/>
          <w:lang w:val="es-CO"/>
        </w:rPr>
      </w:pPr>
      <w:r w:rsidRPr="442EAC12" w:rsidR="3DC989E5">
        <w:rPr>
          <w:noProof w:val="0"/>
          <w:lang w:val="es-CO"/>
        </w:rPr>
        <w:t>El enfoque pasivo se centra en mejorar la conductividad térmica efectiva del propio lecho de hidruro, actuando a escala microscópica. Una técnica extendida es la adición de Grafito Expandido (ENG), que al compactarse con el hidruro crea una red conductora, logrando reducir los tiempos de absorción entre un 40% y un 55% [</w:t>
      </w:r>
      <w:r w:rsidRPr="442EAC12" w:rsidR="423902A4">
        <w:rPr>
          <w:noProof w:val="0"/>
          <w:lang w:val="es-CO"/>
        </w:rPr>
        <w:t>4</w:t>
      </w:r>
      <w:r w:rsidRPr="442EAC12" w:rsidR="3DC989E5">
        <w:rPr>
          <w:noProof w:val="0"/>
          <w:lang w:val="es-CO"/>
        </w:rPr>
        <w:t>], [</w:t>
      </w:r>
      <w:r w:rsidRPr="442EAC12" w:rsidR="70C58C1D">
        <w:rPr>
          <w:noProof w:val="0"/>
          <w:lang w:val="es-CO"/>
        </w:rPr>
        <w:t>5</w:t>
      </w:r>
      <w:r w:rsidRPr="442EAC12" w:rsidR="3DC989E5">
        <w:rPr>
          <w:noProof w:val="0"/>
          <w:lang w:val="es-CO"/>
        </w:rPr>
        <w:t xml:space="preserve">]. Para mejoras más significativas, se utilizan Espumas Metálicas de cobre o aluminio. Según estudios como el de </w:t>
      </w:r>
      <w:r w:rsidRPr="442EAC12" w:rsidR="3DC989E5">
        <w:rPr>
          <w:noProof w:val="0"/>
          <w:lang w:val="es-CO"/>
        </w:rPr>
        <w:t>Mellouli</w:t>
      </w:r>
      <w:r w:rsidRPr="442EAC12" w:rsidR="3DC989E5">
        <w:rPr>
          <w:noProof w:val="0"/>
          <w:lang w:val="es-CO"/>
        </w:rPr>
        <w:t xml:space="preserve"> et al. la infiltración del hidruro en estas matrices porosas actúa como un esqueleto conductor continuo, pudiendo aumentar la conductividad hasta 50 veces y reducir los tiempos de carga en un 68%. Si bien son efectivas, estas técnicas pasivas introducen un peso y volumen que penalizan la densidad energética del sistema.</w:t>
      </w:r>
      <w:r w:rsidRPr="442EAC12" w:rsidR="5B47A7D2">
        <w:rPr>
          <w:noProof w:val="0"/>
          <w:lang w:val="es-CO"/>
        </w:rPr>
        <w:t xml:space="preserve"> [9]</w:t>
      </w:r>
      <w:r w:rsidRPr="442EAC12" w:rsidR="19D77E07">
        <w:rPr>
          <w:noProof w:val="0"/>
          <w:lang w:val="es-CO"/>
        </w:rPr>
        <w:t xml:space="preserve"> </w:t>
      </w:r>
      <w:r w:rsidRPr="442EAC12" w:rsidR="3DC989E5">
        <w:rPr>
          <w:noProof w:val="0"/>
          <w:lang w:val="es-CO"/>
        </w:rPr>
        <w:t xml:space="preserve">Por otro lado, el enfoque activo se basa en el diseño arquitectónico del reactor para transportar el calor mediante un fluido caloportador (HTF). La estrategia más común es el uso de tubos o serpentines internos, que minimizan la distancia de conducción de calor. Diseños con serpentines helicoidales han demostrado reducir el tiempo de carga hasta en un 35% frente a tubos rectos, aunque su eficacia sigue limitada por la baja conductividad del polvo circundante </w:t>
      </w:r>
      <w:r w:rsidRPr="442EAC12" w:rsidR="022B7C88">
        <w:rPr>
          <w:noProof w:val="0"/>
          <w:lang w:val="es-CO"/>
        </w:rPr>
        <w:t>[9]</w:t>
      </w:r>
      <w:r w:rsidRPr="442EAC12" w:rsidR="3DC989E5">
        <w:rPr>
          <w:noProof w:val="0"/>
          <w:lang w:val="es-CO"/>
        </w:rPr>
        <w:t xml:space="preserve"> Para superar esta barrera, se incorporan aletas y superficies extendidas a los tubos. Estudios numéricos y experimentales de [</w:t>
      </w:r>
      <w:r w:rsidRPr="442EAC12" w:rsidR="1E9A51AB">
        <w:rPr>
          <w:noProof w:val="0"/>
          <w:lang w:val="es-CO"/>
        </w:rPr>
        <w:t>10</w:t>
      </w:r>
      <w:r w:rsidRPr="442EAC12" w:rsidR="3DC989E5">
        <w:rPr>
          <w:noProof w:val="0"/>
          <w:lang w:val="es-CO"/>
        </w:rPr>
        <w:t>], [1</w:t>
      </w:r>
      <w:r w:rsidRPr="442EAC12" w:rsidR="54E5F67F">
        <w:rPr>
          <w:noProof w:val="0"/>
          <w:lang w:val="es-CO"/>
        </w:rPr>
        <w:t>1</w:t>
      </w:r>
      <w:r w:rsidRPr="442EAC12" w:rsidR="3DC989E5">
        <w:rPr>
          <w:noProof w:val="0"/>
          <w:lang w:val="es-CO"/>
        </w:rPr>
        <w:t xml:space="preserve">] demuestran que diseños optimizados con múltiples aletas pueden disminuir el tiempo de carga hasta en un impresionante 80%, si bien exigen un compromiso cuidadoso entre la mejora térmica y el aumento de peso parásito. El máximo rendimiento se alcanza </w:t>
      </w:r>
      <w:r w:rsidRPr="442EAC12" w:rsidR="3DC989E5">
        <w:rPr>
          <w:noProof w:val="0"/>
          <w:lang w:val="es-CO"/>
        </w:rPr>
        <w:t>con los reactores de placas (</w:t>
      </w:r>
      <w:r w:rsidRPr="442EAC12" w:rsidR="3DC989E5">
        <w:rPr>
          <w:noProof w:val="0"/>
          <w:lang w:val="es-CO"/>
        </w:rPr>
        <w:t>Plate-Frame</w:t>
      </w:r>
      <w:r w:rsidRPr="442EAC12" w:rsidR="3DC989E5">
        <w:rPr>
          <w:noProof w:val="0"/>
          <w:lang w:val="es-CO"/>
        </w:rPr>
        <w:t>), que intercalan capas delgadas de hidruro entre intercambiadores de calor, logrando las cinéticas más rápidas a costa de una mayor complejidad y costo de fabricación [1</w:t>
      </w:r>
      <w:r w:rsidRPr="442EAC12" w:rsidR="5F3FE72A">
        <w:rPr>
          <w:noProof w:val="0"/>
          <w:lang w:val="es-CO"/>
        </w:rPr>
        <w:t>2</w:t>
      </w:r>
      <w:r w:rsidRPr="442EAC12" w:rsidR="3DC989E5">
        <w:rPr>
          <w:noProof w:val="0"/>
          <w:lang w:val="es-CO"/>
        </w:rPr>
        <w:t>]</w:t>
      </w:r>
    </w:p>
    <w:p w:rsidR="2288FCA2" w:rsidP="442EAC12" w:rsidRDefault="2288FCA2" w14:paraId="646F2117" w14:textId="081816DB">
      <w:pPr>
        <w:pStyle w:val="Normal"/>
        <w:rPr>
          <w:noProof w:val="0"/>
          <w:lang w:val="es-CO"/>
        </w:rPr>
      </w:pPr>
      <w:r w:rsidRPr="442EAC12" w:rsidR="2288FCA2">
        <w:rPr>
          <w:noProof w:val="0"/>
          <w:lang w:val="es-CO"/>
        </w:rPr>
        <w:t xml:space="preserve">Sin embargo, la implementación de estas soluciones a gran escala revela un desafío que trasciende la simple optimización térmica. Como destaca la revisión de Jensen et al., el escalado de reactores introduce el fenómeno mecánico de la auto-densificación. Este problema es particularmente crítico en reactores monolíticos verticales de gran altura, donde el peso de la columna de polvo, combinado con la pulverización cíclica (decrepitación) y la gravedad, provoca una compactación severa en el fondo del tanque. A diferencia de los reactores de pequeña escala o modulares, donde la fricción con las paredes y la menor altura del lecho mitigan este efecto, en los grandes volúmenes la compactación bloquea las vías de difusión del hidrógeno y aísla térmicamente el material. Este efecto no solo degrada el rendimiento con el tiempo, sino que genera tensiones mecánicas peligrosas en las paredes del recipiente, a diferencia de las arquitecturas modulares compartimentadas que distribuyen la carga mecánica y previenen esta densificación destructiva. </w:t>
      </w:r>
      <w:r w:rsidRPr="442EAC12" w:rsidR="0E118380">
        <w:rPr>
          <w:noProof w:val="0"/>
          <w:lang w:val="es-CO"/>
        </w:rPr>
        <w:t>[7]</w:t>
      </w:r>
    </w:p>
    <w:p xmlns:wp14="http://schemas.microsoft.com/office/word/2010/wordml" w:rsidP="37F47B7A" w14:paraId="21B89923" wp14:textId="0C63F6FB">
      <w:pPr>
        <w:pStyle w:val="Heading2"/>
        <w:ind w:left="1284" w:hanging="576"/>
        <w:rPr/>
      </w:pPr>
      <w:bookmarkStart w:name="_Toc1510326969" w:id="1291612954"/>
      <w:r w:rsidR="13D3EB67">
        <w:rPr/>
        <w:t>Aplicaciones</w:t>
      </w:r>
      <w:r w:rsidR="13D3EB67">
        <w:rPr/>
        <w:t xml:space="preserve"> </w:t>
      </w:r>
      <w:r w:rsidR="77D72F94">
        <w:rPr/>
        <w:t>reactores de hidruro m</w:t>
      </w:r>
      <w:r w:rsidR="77D72F94">
        <w:rPr/>
        <w:t>etálico (MHR)</w:t>
      </w:r>
      <w:bookmarkEnd w:id="1291612954"/>
    </w:p>
    <w:p w:rsidR="662FEE3F" w:rsidP="442EAC12" w:rsidRDefault="662FEE3F" w14:paraId="3B755090" w14:textId="66B56729">
      <w:pPr>
        <w:pStyle w:val="Normal"/>
        <w:rPr>
          <w:noProof w:val="0"/>
          <w:lang w:val="es-CO"/>
        </w:rPr>
      </w:pPr>
      <w:r w:rsidRPr="442EAC12" w:rsidR="662FEE3F">
        <w:rPr>
          <w:noProof w:val="0"/>
          <w:lang w:val="es-CO"/>
        </w:rPr>
        <w:t>En aplicaciones móviles, como vehículos o sistemas portátiles, la prioridad absoluta recae en la alta densidad energética (tanto gravimétrica como volumétrica) y en la cinética de recarga rápida. Esto impulsa el uso de soluciones de alto rendimiento, como la infiltración del hidruro en espumas metálicas o la implementación de geometrías complejas como las estructuras de panal de abeja (</w:t>
      </w:r>
      <w:r w:rsidRPr="442EAC12" w:rsidR="662FEE3F">
        <w:rPr>
          <w:noProof w:val="0"/>
          <w:lang w:val="es-CO"/>
        </w:rPr>
        <w:t>honeycomb</w:t>
      </w:r>
      <w:r w:rsidRPr="442EAC12" w:rsidR="662FEE3F">
        <w:rPr>
          <w:noProof w:val="0"/>
          <w:lang w:val="es-CO"/>
        </w:rPr>
        <w:t xml:space="preserve">). Investigaciones en esta línea, como las de Zhang et al. y </w:t>
      </w:r>
      <w:r w:rsidRPr="442EAC12" w:rsidR="662FEE3F">
        <w:rPr>
          <w:noProof w:val="0"/>
          <w:lang w:val="es-CO"/>
        </w:rPr>
        <w:t>Afzal</w:t>
      </w:r>
      <w:r w:rsidRPr="442EAC12" w:rsidR="662FEE3F">
        <w:rPr>
          <w:noProof w:val="0"/>
          <w:lang w:val="es-CO"/>
        </w:rPr>
        <w:t xml:space="preserve"> y Sharma, han demostrado que estas estructuras pueden incrementar la conductividad térmica efectiva en más de un 400% (pasando de 2.5 a 12.8 W/</w:t>
      </w:r>
      <w:r w:rsidRPr="442EAC12" w:rsidR="662FEE3F">
        <w:rPr>
          <w:noProof w:val="0"/>
          <w:lang w:val="es-CO"/>
        </w:rPr>
        <w:t>m·K</w:t>
      </w:r>
      <w:r w:rsidRPr="442EAC12" w:rsidR="662FEE3F">
        <w:rPr>
          <w:noProof w:val="0"/>
          <w:lang w:val="es-CO"/>
        </w:rPr>
        <w:t xml:space="preserve">), logrando tiempos de recarga del orden de 8.5 minutos para el 90% de la capacidad. Estos diseños buscan maximizar la superficie de transferencia de calor en un volumen mínimo, aceptando un mayor costo y complejidad de fabricación. </w:t>
      </w:r>
      <w:r w:rsidRPr="442EAC12" w:rsidR="2CEE0ECC">
        <w:rPr>
          <w:noProof w:val="0"/>
          <w:lang w:val="es-CO"/>
        </w:rPr>
        <w:t>[13]</w:t>
      </w:r>
    </w:p>
    <w:p w:rsidR="0303AF6B" w:rsidP="442EAC12" w:rsidRDefault="0303AF6B" w14:paraId="3C7AB292" w14:textId="5AA6CD3D">
      <w:pPr>
        <w:pStyle w:val="Normal"/>
        <w:rPr>
          <w:noProof w:val="0"/>
          <w:lang w:val="es-CO"/>
        </w:rPr>
      </w:pPr>
      <w:r w:rsidRPr="442EAC12" w:rsidR="0303AF6B">
        <w:rPr>
          <w:noProof w:val="0"/>
          <w:lang w:val="es-CO"/>
        </w:rPr>
        <w:t xml:space="preserve">En contraste con las aplicaciones móviles, los sistemas estacionarios como el respaldo energético o las estaciones de servicio de hidrógeno se rigen por la fiabilidad a largo plazo, el costo y, fundamentalmente, </w:t>
      </w:r>
      <w:r w:rsidRPr="442EAC12" w:rsidR="0303AF6B">
        <w:rPr>
          <w:noProof w:val="0"/>
          <w:lang w:val="es-CO"/>
        </w:rPr>
        <w:t>la modularidad</w:t>
      </w:r>
      <w:r w:rsidRPr="442EAC12" w:rsidR="0303AF6B">
        <w:rPr>
          <w:noProof w:val="0"/>
          <w:lang w:val="es-CO"/>
        </w:rPr>
        <w:t xml:space="preserve">. En lugar de un único reactor monolítico, se emplean sistemas compuestos por múltiples módulos idénticos. Esta arquitectura es el estándar industrial por tres razones clave: permite una escalabilidad sencilla, simplifica el mantenimiento y reduce los costos de fabricación mediante la producción estandarizada. Un ejemplo de esta filosofía es el diseño de reactores a escala industrial de tipo carcasa y tubos, como el propuesto por </w:t>
      </w:r>
      <w:r w:rsidRPr="442EAC12" w:rsidR="0303AF6B">
        <w:rPr>
          <w:noProof w:val="0"/>
          <w:lang w:val="es-CO"/>
        </w:rPr>
        <w:t>Raju</w:t>
      </w:r>
      <w:r w:rsidRPr="442EAC12" w:rsidR="0303AF6B">
        <w:rPr>
          <w:noProof w:val="0"/>
          <w:lang w:val="es-CO"/>
        </w:rPr>
        <w:t xml:space="preserve"> et al. [14], quienes desarrollaron un módulo de 100 kg de TiFe0.9Mn0.1. Este sistema, equipado con 37 tubos internos y 74 aletas radiales, logró un tiempo de carga de 3.5 horas y una eficiencia de ciclo del 82%, validando la viabilidad de la tecnología para aplicaciones de respaldo de energía de 50 kW.</w:t>
      </w:r>
    </w:p>
    <w:p w:rsidR="0303AF6B" w:rsidP="442EAC12" w:rsidRDefault="0303AF6B" w14:paraId="15285949" w14:textId="39488DA9">
      <w:pPr>
        <w:pStyle w:val="Normal"/>
        <w:rPr>
          <w:noProof w:val="0"/>
          <w:lang w:val="es-CO"/>
        </w:rPr>
      </w:pPr>
      <w:r w:rsidRPr="442EAC12" w:rsidR="0303AF6B">
        <w:rPr>
          <w:noProof w:val="0"/>
          <w:lang w:val="es-CO"/>
        </w:rPr>
        <w:t>Escalando aún más, Kumar et al. (2018) abordaron el diseño de un sistema masivo de 1000 kg de hidrógeno. Su análisis reveló que la gestión térmica a esta escala implica manejar picos de carga de 2-3 MW. Para controlar esto, propusieron una arquitectura de control PID (Proporcional-Integral-Derivativo) en cascada con monitoreo en tiempo real, permitiendo una regulación precisa de la temperatura y el flujo mediante la activación selectiva de módulos. [19]</w:t>
      </w:r>
    </w:p>
    <w:p w:rsidR="3186276B" w:rsidRDefault="3186276B" w14:paraId="3665235C" w14:textId="446A88DA">
      <w:pPr/>
      <w:r w:rsidRPr="442EAC12" w:rsidR="3186276B">
        <w:rPr>
          <w:noProof w:val="0"/>
          <w:lang w:val="es-CO"/>
        </w:rPr>
        <w:t>Sin embargo, el concepto de modularidad va más allá de la simple disposición en paralelo. La optimización del sistema en su conjunto requiere considerar la interacción térmica entre los módulos. El trabajo de Hilali et al. Ofrece una visión crítica sobre esta optimización arquitectónica, demostrando que la disposición geométrica de los módulos es un factor de diseño clave. Su enfoque se centra en determinar la distancia óptima (S) entre tanques en una configuración escalonada para maximizar la transferencia de calor por convección forzada [15], [16], como se conceptualiza en la Figura 6.</w:t>
      </w:r>
    </w:p>
    <w:p w:rsidR="069E2CB4" w:rsidP="442EAC12" w:rsidRDefault="069E2CB4" w14:paraId="1CC0CB14" w14:textId="078DED13">
      <w:pPr>
        <w:pStyle w:val="Normal"/>
        <w:spacing w:before="240" w:beforeAutospacing="off" w:after="159" w:afterAutospacing="off" w:line="240" w:lineRule="auto"/>
        <w:jc w:val="center"/>
        <w:rPr>
          <w:highlight w:val="yellow"/>
        </w:rPr>
      </w:pPr>
      <w:r w:rsidR="069E2CB4">
        <w:drawing>
          <wp:inline wp14:editId="2CDA655A" wp14:anchorId="34EF0AB8">
            <wp:extent cx="3810000" cy="1465881"/>
            <wp:effectExtent l="0" t="0" r="0" b="0"/>
            <wp:docPr id="6128605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5671657" name=""/>
                    <pic:cNvPicPr/>
                  </pic:nvPicPr>
                  <pic:blipFill>
                    <a:blip xmlns:r="http://schemas.openxmlformats.org/officeDocument/2006/relationships" r:embed="rId516959022">
                      <a:extLst>
                        <a:ext uri="{28A0092B-C50C-407E-A947-70E740481C1C}">
                          <a14:useLocalDpi xmlns:a14="http://schemas.microsoft.com/office/drawing/2010/main"/>
                        </a:ext>
                      </a:extLst>
                    </a:blip>
                    <a:stretch>
                      <a:fillRect/>
                    </a:stretch>
                  </pic:blipFill>
                  <pic:spPr>
                    <a:xfrm rot="0">
                      <a:off x="0" y="0"/>
                      <a:ext cx="3810000" cy="1465881"/>
                    </a:xfrm>
                    <a:prstGeom prst="rect">
                      <a:avLst/>
                    </a:prstGeom>
                  </pic:spPr>
                </pic:pic>
              </a:graphicData>
            </a:graphic>
          </wp:inline>
        </w:drawing>
      </w:r>
    </w:p>
    <w:p w:rsidR="069E2CB4" w:rsidP="442EAC12" w:rsidRDefault="069E2CB4" w14:paraId="47A84738" w14:textId="66D414CC">
      <w:pPr>
        <w:spacing w:before="240" w:beforeAutospacing="off" w:after="159" w:afterAutospacing="off" w:line="240" w:lineRule="auto"/>
        <w:jc w:val="both"/>
      </w:pPr>
      <w:r w:rsidRPr="442EAC12" w:rsidR="069E2CB4">
        <w:rPr>
          <w:rFonts w:ascii="Arial Narrow" w:hAnsi="Arial Narrow" w:eastAsia="Arial Narrow" w:cs="Arial Narrow"/>
          <w:noProof w:val="0"/>
          <w:color w:val="000000" w:themeColor="text1" w:themeTint="FF" w:themeShade="FF"/>
          <w:sz w:val="24"/>
          <w:szCs w:val="24"/>
          <w:lang w:val="es-CO"/>
        </w:rPr>
        <w:t xml:space="preserve">Figura 6: Esquema teórico de la disposición de tanques en un arreglo escalonado, mostrando la distancia entre centros (S) y el flujo de aire incidente (U∞, T∞) que define la transferencia de calor por convección. </w:t>
      </w:r>
      <w:r w:rsidRPr="442EAC12" w:rsidR="069E2CB4">
        <w:rPr>
          <w:rFonts w:ascii="Arial Narrow" w:hAnsi="Arial Narrow" w:eastAsia="Arial Narrow" w:cs="Arial Narrow"/>
          <w:noProof w:val="0"/>
          <w:color w:val="000000" w:themeColor="text1" w:themeTint="FF" w:themeShade="FF"/>
          <w:sz w:val="24"/>
          <w:szCs w:val="24"/>
          <w:lang w:val="es-CO"/>
        </w:rPr>
        <w:t xml:space="preserve">(Adaptado de </w:t>
      </w:r>
      <w:r w:rsidRPr="442EAC12" w:rsidR="069E2CB4">
        <w:rPr>
          <w:rFonts w:ascii="Arial Narrow" w:hAnsi="Arial Narrow" w:eastAsia="Arial Narrow" w:cs="Arial Narrow"/>
          <w:noProof w:val="0"/>
          <w:color w:val="000000" w:themeColor="text1" w:themeTint="FF" w:themeShade="FF"/>
          <w:sz w:val="24"/>
          <w:szCs w:val="24"/>
          <w:lang w:val="es-CO"/>
        </w:rPr>
        <w:t>Hilali</w:t>
      </w:r>
      <w:r w:rsidRPr="442EAC12" w:rsidR="069E2CB4">
        <w:rPr>
          <w:rFonts w:ascii="Arial Narrow" w:hAnsi="Arial Narrow" w:eastAsia="Arial Narrow" w:cs="Arial Narrow"/>
          <w:noProof w:val="0"/>
          <w:color w:val="000000" w:themeColor="text1" w:themeTint="FF" w:themeShade="FF"/>
          <w:sz w:val="24"/>
          <w:szCs w:val="24"/>
          <w:lang w:val="es-CO"/>
        </w:rPr>
        <w:t xml:space="preserve"> et al.</w:t>
      </w:r>
      <w:r w:rsidRPr="442EAC12" w:rsidR="7A2FF343">
        <w:rPr>
          <w:rFonts w:ascii="Arial Narrow" w:hAnsi="Arial Narrow" w:eastAsia="Arial Narrow" w:cs="Arial Narrow"/>
          <w:noProof w:val="0"/>
          <w:color w:val="000000" w:themeColor="text1" w:themeTint="FF" w:themeShade="FF"/>
          <w:sz w:val="24"/>
          <w:szCs w:val="24"/>
          <w:lang w:val="es-CO"/>
        </w:rPr>
        <w:t>)[</w:t>
      </w:r>
      <w:r w:rsidRPr="442EAC12" w:rsidR="513B2B9B">
        <w:rPr>
          <w:rFonts w:ascii="Arial Narrow" w:hAnsi="Arial Narrow" w:eastAsia="Arial Narrow" w:cs="Arial Narrow"/>
          <w:noProof w:val="0"/>
          <w:color w:val="000000" w:themeColor="text1" w:themeTint="FF" w:themeShade="FF"/>
          <w:sz w:val="24"/>
          <w:szCs w:val="24"/>
          <w:lang w:val="es-CO"/>
        </w:rPr>
        <w:t>15]</w:t>
      </w:r>
    </w:p>
    <w:p w:rsidR="72C4B2A0" w:rsidP="442EAC12" w:rsidRDefault="72C4B2A0" w14:paraId="791FB253" w14:textId="048B6FF8">
      <w:pPr>
        <w:pStyle w:val="Normal"/>
        <w:rPr>
          <w:noProof w:val="0"/>
          <w:lang w:val="es-CO"/>
        </w:rPr>
      </w:pPr>
      <w:r w:rsidRPr="442EAC12" w:rsidR="72C4B2A0">
        <w:rPr>
          <w:noProof w:val="0"/>
          <w:lang w:val="es-CO"/>
        </w:rPr>
        <w:t>ara validar este concepto teóricamente, los autores realizaron un estudio experimental cuyo montaje se detalla en la Figura 7. El sistema consiste en un túnel de viento que simula condiciones de convección forzada, donde un banco de tres tanques de hidruro metálico se descarga para alimentar una pila de combustible. Una cámara termográfica de alta precisión mide la distribución de temperatura en la superficie de una placa perforada, permitiendo cuantificar la tasa de transferencia de calor desde el flujo de aire hacia los tanques. [</w:t>
      </w:r>
      <w:r w:rsidRPr="442EAC12" w:rsidR="76E72018">
        <w:rPr>
          <w:noProof w:val="0"/>
          <w:lang w:val="es-CO"/>
        </w:rPr>
        <w:t>16]</w:t>
      </w:r>
    </w:p>
    <w:p w:rsidR="069E2CB4" w:rsidP="442EAC12" w:rsidRDefault="069E2CB4" w14:paraId="7D77B255" w14:textId="0DEFDD1C">
      <w:pPr>
        <w:pStyle w:val="Normal"/>
        <w:spacing w:before="240" w:beforeAutospacing="off" w:after="159" w:afterAutospacing="off" w:line="240" w:lineRule="auto"/>
        <w:jc w:val="both"/>
        <w:rPr>
          <w:highlight w:val="yellow"/>
        </w:rPr>
      </w:pPr>
      <w:r w:rsidR="069E2CB4">
        <w:drawing>
          <wp:inline wp14:editId="76D902DF" wp14:anchorId="0695416D">
            <wp:extent cx="3429000" cy="2109707"/>
            <wp:effectExtent l="0" t="0" r="0" b="0"/>
            <wp:docPr id="13945219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3527154" name=""/>
                    <pic:cNvPicPr/>
                  </pic:nvPicPr>
                  <pic:blipFill>
                    <a:blip xmlns:r="http://schemas.openxmlformats.org/officeDocument/2006/relationships" r:embed="rId1858323471">
                      <a:extLst>
                        <a:ext uri="{28A0092B-C50C-407E-A947-70E740481C1C}">
                          <a14:useLocalDpi xmlns:a14="http://schemas.microsoft.com/office/drawing/2010/main"/>
                        </a:ext>
                      </a:extLst>
                    </a:blip>
                    <a:stretch>
                      <a:fillRect/>
                    </a:stretch>
                  </pic:blipFill>
                  <pic:spPr>
                    <a:xfrm rot="0">
                      <a:off x="0" y="0"/>
                      <a:ext cx="3429000" cy="2109707"/>
                    </a:xfrm>
                    <a:prstGeom prst="rect">
                      <a:avLst/>
                    </a:prstGeom>
                  </pic:spPr>
                </pic:pic>
              </a:graphicData>
            </a:graphic>
          </wp:inline>
        </w:drawing>
      </w:r>
      <w:r w:rsidR="069E2CB4">
        <w:drawing>
          <wp:inline wp14:editId="7F7018EF" wp14:anchorId="76CFA7AC">
            <wp:extent cx="1766500" cy="2352675"/>
            <wp:effectExtent l="0" t="0" r="0" b="0"/>
            <wp:docPr id="874569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3363364" name=""/>
                    <pic:cNvPicPr/>
                  </pic:nvPicPr>
                  <pic:blipFill>
                    <a:blip xmlns:r="http://schemas.openxmlformats.org/officeDocument/2006/relationships" r:embed="rId410751436">
                      <a:extLst>
                        <a:ext uri="{28A0092B-C50C-407E-A947-70E740481C1C}">
                          <a14:useLocalDpi xmlns:a14="http://schemas.microsoft.com/office/drawing/2010/main"/>
                        </a:ext>
                      </a:extLst>
                    </a:blip>
                    <a:stretch>
                      <a:fillRect/>
                    </a:stretch>
                  </pic:blipFill>
                  <pic:spPr>
                    <a:xfrm rot="0">
                      <a:off x="0" y="0"/>
                      <a:ext cx="1766500" cy="2352675"/>
                    </a:xfrm>
                    <a:prstGeom prst="rect">
                      <a:avLst/>
                    </a:prstGeom>
                  </pic:spPr>
                </pic:pic>
              </a:graphicData>
            </a:graphic>
          </wp:inline>
        </w:drawing>
      </w:r>
    </w:p>
    <w:p w:rsidR="069E2CB4" w:rsidP="442EAC12" w:rsidRDefault="069E2CB4" w14:paraId="2B817029" w14:textId="476AEEAE">
      <w:pPr>
        <w:spacing w:before="240" w:beforeAutospacing="off" w:after="159" w:afterAutospacing="off" w:line="240" w:lineRule="auto"/>
        <w:jc w:val="both"/>
      </w:pPr>
      <w:r w:rsidRPr="442EAC12" w:rsidR="069E2CB4">
        <w:rPr>
          <w:rFonts w:ascii="Arial Narrow" w:hAnsi="Arial Narrow" w:eastAsia="Arial Narrow" w:cs="Arial Narrow"/>
          <w:noProof w:val="0"/>
          <w:color w:val="000000" w:themeColor="text1" w:themeTint="FF" w:themeShade="FF"/>
          <w:sz w:val="24"/>
          <w:szCs w:val="24"/>
          <w:lang w:val="es-CO"/>
        </w:rPr>
        <w:t xml:space="preserve">Figura 7: Montaje experimental utilizado por </w:t>
      </w:r>
      <w:r w:rsidRPr="442EAC12" w:rsidR="069E2CB4">
        <w:rPr>
          <w:rFonts w:ascii="Arial Narrow" w:hAnsi="Arial Narrow" w:eastAsia="Arial Narrow" w:cs="Arial Narrow"/>
          <w:noProof w:val="0"/>
          <w:color w:val="000000" w:themeColor="text1" w:themeTint="FF" w:themeShade="FF"/>
          <w:sz w:val="24"/>
          <w:szCs w:val="24"/>
          <w:lang w:val="es-CO"/>
        </w:rPr>
        <w:t>Hilali</w:t>
      </w:r>
      <w:r w:rsidRPr="442EAC12" w:rsidR="069E2CB4">
        <w:rPr>
          <w:rFonts w:ascii="Arial Narrow" w:hAnsi="Arial Narrow" w:eastAsia="Arial Narrow" w:cs="Arial Narrow"/>
          <w:noProof w:val="0"/>
          <w:color w:val="000000" w:themeColor="text1" w:themeTint="FF" w:themeShade="FF"/>
          <w:sz w:val="24"/>
          <w:szCs w:val="24"/>
          <w:lang w:val="es-CO"/>
        </w:rPr>
        <w:t xml:space="preserve"> et al. </w:t>
      </w:r>
      <w:r w:rsidRPr="442EAC12" w:rsidR="069E2CB4">
        <w:rPr>
          <w:rFonts w:ascii="Arial Narrow" w:hAnsi="Arial Narrow" w:eastAsia="Arial Narrow" w:cs="Arial Narrow"/>
          <w:noProof w:val="0"/>
          <w:color w:val="000000" w:themeColor="text1" w:themeTint="FF" w:themeShade="FF"/>
          <w:sz w:val="24"/>
          <w:szCs w:val="24"/>
          <w:lang w:val="es-CO"/>
        </w:rPr>
        <w:t xml:space="preserve">para validar la distancia óptima entre tanques. Se observa el túnel de viento, el banco de tres tanques montados en la placa de aluminio, la cámara termográfica para la medición de temperatura y la pila de combustible como sistema de </w:t>
      </w:r>
      <w:r w:rsidRPr="442EAC12" w:rsidR="069E2CB4">
        <w:rPr>
          <w:rFonts w:ascii="Arial Narrow" w:hAnsi="Arial Narrow" w:eastAsia="Arial Narrow" w:cs="Arial Narrow"/>
          <w:noProof w:val="0"/>
          <w:color w:val="000000" w:themeColor="text1" w:themeTint="FF" w:themeShade="FF"/>
          <w:sz w:val="24"/>
          <w:szCs w:val="24"/>
          <w:lang w:val="es-CO"/>
        </w:rPr>
        <w:t>carga.</w:t>
      </w:r>
      <w:r w:rsidRPr="442EAC12" w:rsidR="0B35E939">
        <w:rPr>
          <w:rFonts w:ascii="Arial Narrow" w:hAnsi="Arial Narrow" w:eastAsia="Arial Narrow" w:cs="Arial Narrow"/>
          <w:noProof w:val="0"/>
          <w:color w:val="000000" w:themeColor="text1" w:themeTint="FF" w:themeShade="FF"/>
          <w:sz w:val="24"/>
          <w:szCs w:val="24"/>
          <w:lang w:val="es-CO"/>
        </w:rPr>
        <w:t>[</w:t>
      </w:r>
      <w:r w:rsidRPr="442EAC12" w:rsidR="0B35E939">
        <w:rPr>
          <w:rFonts w:ascii="Arial Narrow" w:hAnsi="Arial Narrow" w:eastAsia="Arial Narrow" w:cs="Arial Narrow"/>
          <w:noProof w:val="0"/>
          <w:color w:val="000000" w:themeColor="text1" w:themeTint="FF" w:themeShade="FF"/>
          <w:sz w:val="24"/>
          <w:szCs w:val="24"/>
          <w:lang w:val="es-CO"/>
        </w:rPr>
        <w:t>16]</w:t>
      </w:r>
    </w:p>
    <w:p w:rsidR="2D8B67A5" w:rsidP="442EAC12" w:rsidRDefault="2D8B67A5" w14:paraId="503BFD71" w14:textId="4D93FEA0">
      <w:pPr>
        <w:pStyle w:val="Normal"/>
        <w:rPr>
          <w:noProof w:val="0"/>
          <w:lang w:val="es-CO"/>
        </w:rPr>
      </w:pPr>
      <w:r w:rsidRPr="442EAC12" w:rsidR="2D8B67A5">
        <w:rPr>
          <w:noProof w:val="0"/>
          <w:lang w:val="es-CO"/>
        </w:rPr>
        <w:t>Los resultados experimentales, presentados en las curvas de transferencia de calor (Q) en función de la distancia (S) de la Figura 8, confirman la existencia de un óptimo. Las gráficas muestran que, para un número de Reynolds (Re) y una temperatura ambiente dados, la tasa de transferencia de calor no es lineal, sino que alcanza un pico a una distancia específica. Para las condiciones probadas, se validó que distancias de 5 a 6 mm eran ideales, logrando una transferencia de calor superior al 75% de la capacidad teórica.</w:t>
      </w:r>
    </w:p>
    <w:p w:rsidR="069E2CB4" w:rsidP="442EAC12" w:rsidRDefault="069E2CB4" w14:paraId="449A463A" w14:textId="196EAE2B">
      <w:pPr>
        <w:spacing w:before="240" w:beforeAutospacing="off" w:after="159" w:afterAutospacing="off" w:line="240" w:lineRule="auto"/>
        <w:jc w:val="center"/>
      </w:pPr>
      <w:r w:rsidR="069E2CB4">
        <w:drawing>
          <wp:inline wp14:editId="1F460687" wp14:anchorId="003145EA">
            <wp:extent cx="3810000" cy="2346456"/>
            <wp:effectExtent l="0" t="0" r="0" b="0"/>
            <wp:docPr id="558743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8743930" name="Picture 558743930"/>
                    <pic:cNvPicPr/>
                  </pic:nvPicPr>
                  <pic:blipFill>
                    <a:blip xmlns:r="http://schemas.openxmlformats.org/officeDocument/2006/relationships" r:embed="rId890150696">
                      <a:extLst>
                        <a:ext uri="{28A0092B-C50C-407E-A947-70E740481C1C}">
                          <a14:useLocalDpi xmlns:a14="http://schemas.microsoft.com/office/drawing/2010/main"/>
                        </a:ext>
                      </a:extLst>
                    </a:blip>
                    <a:stretch>
                      <a:fillRect/>
                    </a:stretch>
                    <a:srcRect l="0" t="0" r="0" b="16193"/>
                  </pic:blipFill>
                  <pic:spPr>
                    <a:xfrm rot="0">
                      <a:off x="0" y="0"/>
                      <a:ext cx="3810000" cy="2346456"/>
                    </a:xfrm>
                    <a:prstGeom prst="rect">
                      <a:avLst/>
                    </a:prstGeom>
                  </pic:spPr>
                </pic:pic>
              </a:graphicData>
            </a:graphic>
          </wp:inline>
        </w:drawing>
      </w:r>
    </w:p>
    <w:p w:rsidR="069E2CB4" w:rsidP="442EAC12" w:rsidRDefault="069E2CB4" w14:paraId="42F30E75" w14:textId="3DCB655F">
      <w:pPr>
        <w:spacing w:before="240" w:beforeAutospacing="off" w:after="159" w:afterAutospacing="off" w:line="240" w:lineRule="auto"/>
        <w:jc w:val="both"/>
      </w:pPr>
      <w:r w:rsidRPr="442EAC12" w:rsidR="069E2CB4">
        <w:rPr>
          <w:rFonts w:ascii="Arial Narrow" w:hAnsi="Arial Narrow" w:eastAsia="Arial Narrow" w:cs="Arial Narrow"/>
          <w:noProof w:val="0"/>
          <w:color w:val="000000" w:themeColor="text1" w:themeTint="FF" w:themeShade="FF"/>
          <w:sz w:val="24"/>
          <w:szCs w:val="24"/>
          <w:lang w:val="es-CO"/>
        </w:rPr>
        <w:t>Figura 8: Resultados experimentales que muestran la variación de la tasa de transferencia de calor (Q) en función de la distancia entre tanques (S) para diferentes números de Reynolds (Re) y temper</w:t>
      </w:r>
      <w:r w:rsidRPr="442EAC12" w:rsidR="069E2CB4">
        <w:rPr>
          <w:rFonts w:ascii="Arial Narrow" w:hAnsi="Arial Narrow" w:eastAsia="Arial Narrow" w:cs="Arial Narrow"/>
          <w:noProof w:val="0"/>
          <w:color w:val="000000" w:themeColor="text1" w:themeTint="FF" w:themeShade="FF"/>
          <w:sz w:val="24"/>
          <w:szCs w:val="24"/>
          <w:lang w:val="es-CO"/>
        </w:rPr>
        <w:t>aturas. Los picos en las curvas indican la existencia de una distancia óptima. (</w:t>
      </w:r>
      <w:r w:rsidRPr="442EAC12" w:rsidR="069E2CB4">
        <w:rPr>
          <w:rFonts w:ascii="Arial Narrow" w:hAnsi="Arial Narrow" w:eastAsia="Arial Narrow" w:cs="Arial Narrow"/>
          <w:noProof w:val="0"/>
          <w:color w:val="000000" w:themeColor="text1" w:themeTint="FF" w:themeShade="FF"/>
          <w:sz w:val="24"/>
          <w:szCs w:val="24"/>
          <w:lang w:val="es-CO"/>
        </w:rPr>
        <w:t xml:space="preserve">Adaptado de </w:t>
      </w:r>
      <w:r w:rsidRPr="442EAC12" w:rsidR="069E2CB4">
        <w:rPr>
          <w:rFonts w:ascii="Arial Narrow" w:hAnsi="Arial Narrow" w:eastAsia="Arial Narrow" w:cs="Arial Narrow"/>
          <w:noProof w:val="0"/>
          <w:color w:val="000000" w:themeColor="text1" w:themeTint="FF" w:themeShade="FF"/>
          <w:sz w:val="24"/>
          <w:szCs w:val="24"/>
          <w:lang w:val="es-CO"/>
        </w:rPr>
        <w:t>Hilali</w:t>
      </w:r>
      <w:r w:rsidRPr="442EAC12" w:rsidR="069E2CB4">
        <w:rPr>
          <w:rFonts w:ascii="Arial Narrow" w:hAnsi="Arial Narrow" w:eastAsia="Arial Narrow" w:cs="Arial Narrow"/>
          <w:noProof w:val="0"/>
          <w:color w:val="000000" w:themeColor="text1" w:themeTint="FF" w:themeShade="FF"/>
          <w:sz w:val="24"/>
          <w:szCs w:val="24"/>
          <w:lang w:val="es-CO"/>
        </w:rPr>
        <w:t xml:space="preserve"> et al.</w:t>
      </w:r>
      <w:r w:rsidRPr="442EAC12" w:rsidR="069E2CB4">
        <w:rPr>
          <w:rFonts w:ascii="Arial Narrow" w:hAnsi="Arial Narrow" w:eastAsia="Arial Narrow" w:cs="Arial Narrow"/>
          <w:noProof w:val="0"/>
          <w:color w:val="000000" w:themeColor="text1" w:themeTint="FF" w:themeShade="FF"/>
          <w:sz w:val="24"/>
          <w:szCs w:val="24"/>
          <w:highlight w:val="yellow"/>
          <w:lang w:val="es-CO"/>
        </w:rPr>
        <w:t>)</w:t>
      </w:r>
      <w:r w:rsidRPr="442EAC12" w:rsidR="069E2CB4">
        <w:rPr>
          <w:rFonts w:ascii="Arial Narrow" w:hAnsi="Arial Narrow" w:eastAsia="Arial Narrow" w:cs="Arial Narrow"/>
          <w:noProof w:val="0"/>
          <w:color w:val="000000" w:themeColor="text1" w:themeTint="FF" w:themeShade="FF"/>
          <w:sz w:val="24"/>
          <w:szCs w:val="24"/>
          <w:lang w:val="es-CO"/>
        </w:rPr>
        <w:t>.</w:t>
      </w:r>
      <w:r w:rsidRPr="442EAC12" w:rsidR="69BC392F">
        <w:rPr>
          <w:rFonts w:ascii="Arial Narrow" w:hAnsi="Arial Narrow" w:eastAsia="Arial Narrow" w:cs="Arial Narrow"/>
          <w:noProof w:val="0"/>
          <w:color w:val="000000" w:themeColor="text1" w:themeTint="FF" w:themeShade="FF"/>
          <w:sz w:val="24"/>
          <w:szCs w:val="24"/>
          <w:lang w:val="es-CO"/>
        </w:rPr>
        <w:t xml:space="preserve"> [15]</w:t>
      </w:r>
    </w:p>
    <w:p w:rsidR="069E2CB4" w:rsidP="442EAC12" w:rsidRDefault="069E2CB4" w14:paraId="0E18B753" w14:textId="4F1D2887">
      <w:pPr>
        <w:pStyle w:val="Normal"/>
        <w:rPr>
          <w:noProof w:val="0"/>
          <w:lang w:val="es-CO"/>
        </w:rPr>
      </w:pPr>
      <w:r w:rsidRPr="442EAC12" w:rsidR="069E2CB4">
        <w:rPr>
          <w:noProof w:val="0"/>
          <w:lang w:val="es-CO"/>
        </w:rPr>
        <w:t>Este hallazgo subraya que un diseño modular eficaz debe optimizar no solo los componentes internos de cada reactor, sino también la arquitectura y el espaciado del banco de reactores en su conjunto para lograr la máxima eficiencia térmica global.</w:t>
      </w:r>
    </w:p>
    <w:p w:rsidR="5AD079D9" w:rsidP="442EAC12" w:rsidRDefault="5AD079D9" w14:paraId="29D21603" w14:textId="47FE57F0">
      <w:pPr>
        <w:pStyle w:val="Normal"/>
        <w:rPr>
          <w:noProof w:val="0"/>
          <w:lang w:val="es-CO"/>
        </w:rPr>
      </w:pPr>
      <w:r w:rsidRPr="442EAC12" w:rsidR="5AD079D9">
        <w:rPr>
          <w:noProof w:val="0"/>
          <w:lang w:val="es-CO"/>
        </w:rPr>
        <w:t xml:space="preserve">Para contextualizar cómo estos principios se están aplicando en soluciones con orientación comercial, el análisis de la patente WO2022167381A1 de GRZ Technologies describe un sistema modular que prioriza la simplicidad y la gestión térmica pasiva. Como se observa en la Figura 9 de la patente, el sistema se basa en múltiples contenedores tubulares de pequeño diámetro (6), preferiblemente de 3 a 6 cm, que operan en paralelo y están interconectados por un </w:t>
      </w:r>
      <w:r w:rsidRPr="442EAC12" w:rsidR="5AD079D9">
        <w:rPr>
          <w:noProof w:val="0"/>
          <w:lang w:val="es-CO"/>
        </w:rPr>
        <w:t>manifold</w:t>
      </w:r>
      <w:r w:rsidRPr="442EAC12" w:rsidR="5AD079D9">
        <w:rPr>
          <w:noProof w:val="0"/>
          <w:lang w:val="es-CO"/>
        </w:rPr>
        <w:t xml:space="preserve"> de gas común (8) para garantizar una presión uniforme. El diseño se optimiza mediante un espaciamiento (G) entre contenedores, preferiblemente entre 0.05×D y 0.5×D, que crea canales para la convección natural del aire. La innovación clave radica en su simplicidad y seguridad intrínseca, llegando incluso a proponer el uso de contenedores vacíos como un buffer de gas presurizado para facilitar la desorción rápida en arranques en frío. Esta filosofía de diseño sacrifica la cinética máxima en favor de un sistema robusto, sin partes móviles y de bajo costo operativo.</w:t>
      </w:r>
    </w:p>
    <w:p w:rsidR="7FC82F37" w:rsidP="442EAC12" w:rsidRDefault="7FC82F37" w14:paraId="75BD8432" w14:textId="3022B17F">
      <w:pPr>
        <w:pStyle w:val="Normal"/>
        <w:spacing w:before="240" w:beforeAutospacing="off" w:after="159" w:afterAutospacing="off" w:line="240" w:lineRule="auto"/>
        <w:jc w:val="center"/>
        <w:rPr>
          <w:rFonts w:ascii="Arial Narrow" w:hAnsi="Arial Narrow" w:eastAsia="Arial Narrow" w:cs="Arial Narrow"/>
          <w:noProof w:val="0"/>
          <w:color w:val="000000" w:themeColor="text1" w:themeTint="FF" w:themeShade="FF"/>
          <w:sz w:val="24"/>
          <w:szCs w:val="24"/>
          <w:lang w:val="es-CO"/>
        </w:rPr>
      </w:pPr>
      <w:r w:rsidR="7FC82F37">
        <w:drawing>
          <wp:inline wp14:editId="4F02957C" wp14:anchorId="764FB595">
            <wp:extent cx="3419475" cy="1854633"/>
            <wp:effectExtent l="0" t="0" r="0" b="0"/>
            <wp:docPr id="2068500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8500392" name="Picture 2068500392"/>
                    <pic:cNvPicPr/>
                  </pic:nvPicPr>
                  <pic:blipFill>
                    <a:blip xmlns:r="http://schemas.openxmlformats.org/officeDocument/2006/relationships" r:embed="rId1709605489">
                      <a:extLst>
                        <a:ext uri="{28A0092B-C50C-407E-A947-70E740481C1C}">
                          <a14:useLocalDpi xmlns:a14="http://schemas.microsoft.com/office/drawing/2010/main"/>
                        </a:ext>
                      </a:extLst>
                    </a:blip>
                    <a:stretch>
                      <a:fillRect/>
                    </a:stretch>
                    <a:srcRect l="0" t="11111" r="0" b="0"/>
                  </pic:blipFill>
                  <pic:spPr>
                    <a:xfrm rot="0">
                      <a:off x="0" y="0"/>
                      <a:ext cx="3419475" cy="1854633"/>
                    </a:xfrm>
                    <a:prstGeom prst="rect">
                      <a:avLst/>
                    </a:prstGeom>
                  </pic:spPr>
                </pic:pic>
              </a:graphicData>
            </a:graphic>
          </wp:inline>
        </w:drawing>
      </w:r>
      <w:r>
        <w:br/>
      </w:r>
      <w:r w:rsidRPr="442EAC12" w:rsidR="7FC82F37">
        <w:rPr>
          <w:rFonts w:ascii="Arial Narrow" w:hAnsi="Arial Narrow" w:eastAsia="Arial Narrow" w:cs="Arial Narrow"/>
          <w:noProof w:val="0"/>
          <w:color w:val="000000" w:themeColor="text1" w:themeTint="FF" w:themeShade="FF"/>
          <w:sz w:val="24"/>
          <w:szCs w:val="24"/>
          <w:lang w:val="es-CO"/>
        </w:rPr>
        <w:t>Figura 9:</w:t>
      </w:r>
      <w:r w:rsidRPr="442EAC12" w:rsidR="06E34B3F">
        <w:rPr>
          <w:rFonts w:ascii="Arial Narrow" w:hAnsi="Arial Narrow" w:eastAsia="Arial Narrow" w:cs="Arial Narrow"/>
          <w:noProof w:val="0"/>
          <w:color w:val="000000" w:themeColor="text1" w:themeTint="FF" w:themeShade="FF"/>
          <w:sz w:val="24"/>
          <w:szCs w:val="24"/>
          <w:lang w:val="es-CO"/>
        </w:rPr>
        <w:t xml:space="preserve"> sistema modular patente WO2022167381A1</w:t>
      </w:r>
    </w:p>
    <w:p w:rsidR="49997E41" w:rsidP="442EAC12" w:rsidRDefault="49997E41" w14:paraId="7031FF39" w14:textId="692DCA09">
      <w:pPr>
        <w:pStyle w:val="Normal"/>
        <w:rPr>
          <w:noProof w:val="0"/>
          <w:lang w:val="es-CO"/>
        </w:rPr>
      </w:pPr>
      <w:r w:rsidRPr="442EAC12" w:rsidR="49997E41">
        <w:rPr>
          <w:noProof w:val="0"/>
          <w:lang w:val="es-CO"/>
        </w:rPr>
        <w:t xml:space="preserve">Sobre este mismo enfoque </w:t>
      </w:r>
      <w:r w:rsidRPr="442EAC12" w:rsidR="49997E41">
        <w:rPr>
          <w:noProof w:val="0"/>
          <w:lang w:val="es-CO"/>
        </w:rPr>
        <w:t>modular</w:t>
      </w:r>
      <w:r w:rsidRPr="442EAC12" w:rsidR="49997E41">
        <w:rPr>
          <w:noProof w:val="0"/>
          <w:lang w:val="es-CO"/>
        </w:rPr>
        <w:t xml:space="preserve"> pero abordando un desafío diferente el limitado rango de temperatura de operación de los hidruros, la patente US12228247B2, también de GRZ Technologies, propone un sistema activo y más complejo. Como se esquematiza en la Figura 10, el sistema utiliza pares de tanques que contienen dos tipos distintos de hidruros: un Material de Almacenamiento de Baja Presión (LPSM, 6a) y un Material de Almacenamiento de Alta Presión (HPSM, 6b). La optimización de este diseño reside en la selección estratégica de los materiales: el LPSM (típicamente tipo AB5 como La0.9Ce0.1Ni5) se selecciona para maximizar la capacidad a presiones de carga estándar, mientras que el HPSM (como La0.8Ce0.2Ni5) se elige para garantizar una presión de desorción suficiente incluso a bajas temperaturas, donde el LPSM fallaría. Un sofisticado sistema de control, a través de una red de válvulas (V1ai, V1bi, etc.), implementa una lógica de prioridad: durante la carga, se llena primero el tanque de baja presión para reducir la contrapresión al electrolizador; durante la descarga, se prioriza el tanque de alta presión para asegurar el flujo inicial, conmutando al de baja presión solo cuando las condiciones termodinámicas lo permiten. Este diseño ilustra el siguiente nivel de optimización, donde se sacrifica la simplicidad en favor de una mayor versatilidad y rendimiento, ampliando drásticamente la ventana operativa del sistema a costa de una mayor complejidad y costo.</w:t>
      </w:r>
    </w:p>
    <w:p w:rsidR="3C3DE7C1" w:rsidP="442EAC12" w:rsidRDefault="3C3DE7C1" w14:paraId="74C4359F" w14:textId="49D47B49">
      <w:pPr>
        <w:pStyle w:val="Normal"/>
        <w:spacing w:before="240" w:beforeAutospacing="off" w:after="159" w:afterAutospacing="off" w:line="240" w:lineRule="auto"/>
        <w:jc w:val="center"/>
        <w:rPr>
          <w:rFonts w:ascii="Arial Narrow" w:hAnsi="Arial Narrow" w:eastAsia="Arial Narrow" w:cs="Arial Narrow"/>
          <w:noProof w:val="0"/>
          <w:color w:val="000000" w:themeColor="text1" w:themeTint="FF" w:themeShade="FF"/>
          <w:sz w:val="24"/>
          <w:szCs w:val="24"/>
          <w:lang w:val="es-CO"/>
        </w:rPr>
      </w:pPr>
      <w:r w:rsidR="3C3DE7C1">
        <w:drawing>
          <wp:inline wp14:editId="226095E3" wp14:anchorId="284A9C17">
            <wp:extent cx="3638550" cy="1794607"/>
            <wp:effectExtent l="0" t="0" r="0" b="0"/>
            <wp:docPr id="301200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1200841" name="Picture 301200841"/>
                    <pic:cNvPicPr/>
                  </pic:nvPicPr>
                  <pic:blipFill>
                    <a:blip xmlns:r="http://schemas.openxmlformats.org/officeDocument/2006/relationships" r:embed="rId922090151">
                      <a:extLst>
                        <a:ext uri="{28A0092B-C50C-407E-A947-70E740481C1C}">
                          <a14:useLocalDpi xmlns:a14="http://schemas.microsoft.com/office/drawing/2010/main"/>
                        </a:ext>
                      </a:extLst>
                    </a:blip>
                    <a:stretch>
                      <a:fillRect/>
                    </a:stretch>
                  </pic:blipFill>
                  <pic:spPr>
                    <a:xfrm rot="0">
                      <a:off x="0" y="0"/>
                      <a:ext cx="3638550" cy="1794607"/>
                    </a:xfrm>
                    <a:prstGeom prst="rect">
                      <a:avLst/>
                    </a:prstGeom>
                  </pic:spPr>
                </pic:pic>
              </a:graphicData>
            </a:graphic>
          </wp:inline>
        </w:drawing>
      </w:r>
      <w:r>
        <w:br/>
      </w:r>
      <w:r w:rsidRPr="442EAC12" w:rsidR="428F5193">
        <w:rPr>
          <w:rFonts w:ascii="Arial Narrow" w:hAnsi="Arial Narrow" w:eastAsia="Arial Narrow" w:cs="Arial Narrow"/>
          <w:noProof w:val="0"/>
          <w:color w:val="000000" w:themeColor="text1" w:themeTint="FF" w:themeShade="FF"/>
          <w:sz w:val="24"/>
          <w:szCs w:val="24"/>
          <w:lang w:val="es-CO"/>
        </w:rPr>
        <w:t>Figura 10:</w:t>
      </w:r>
      <w:r w:rsidRPr="442EAC12" w:rsidR="4D4DCDAC">
        <w:rPr>
          <w:rFonts w:ascii="Arial Narrow" w:hAnsi="Arial Narrow" w:eastAsia="Arial Narrow" w:cs="Arial Narrow"/>
          <w:noProof w:val="0"/>
          <w:color w:val="000000" w:themeColor="text1" w:themeTint="FF" w:themeShade="FF"/>
          <w:sz w:val="24"/>
          <w:szCs w:val="24"/>
          <w:lang w:val="es-CO"/>
        </w:rPr>
        <w:t xml:space="preserve"> sistema modular patente US12228247B2</w:t>
      </w:r>
    </w:p>
    <w:p w:rsidR="014DD01F" w:rsidP="442EAC12" w:rsidRDefault="014DD01F" w14:paraId="1C4D976E" w14:textId="358BF03F">
      <w:pPr>
        <w:pStyle w:val="Normal"/>
        <w:rPr>
          <w:noProof w:val="0"/>
          <w:lang w:val="es-CO"/>
        </w:rPr>
      </w:pPr>
      <w:r w:rsidRPr="442EAC12" w:rsidR="014DD01F">
        <w:rPr>
          <w:noProof w:val="0"/>
          <w:lang w:val="es-CO"/>
        </w:rPr>
        <w:t xml:space="preserve">En conjunto, estos avances configuran un panorama tecnológico de sistemas almacenamiento de hidrogeno mediante hidruros </w:t>
      </w:r>
      <w:r w:rsidRPr="442EAC12" w:rsidR="014DD01F">
        <w:rPr>
          <w:noProof w:val="0"/>
          <w:lang w:val="es-CO"/>
        </w:rPr>
        <w:t>metallicos</w:t>
      </w:r>
      <w:r w:rsidRPr="442EAC12" w:rsidR="014DD01F">
        <w:rPr>
          <w:noProof w:val="0"/>
          <w:lang w:val="es-CO"/>
        </w:rPr>
        <w:t>. En la literatura científica, se ha transitado desde la intensificación de la transferencia de calor en reactores unitarios mediante el uso de espumas metálicas y estructuras de panal, hacia la ingeniería de sistemas modulares complejos, donde la optimización del espaciamiento entre tanques y el control en cascada son tan determinantes como la química del hidruro. Paralelamente, en el ámbito de la propiedad intelectual, la innovación se ha bifurcado en dos filosofías de diseño: la simplificación extrema mediante convección natural y diseños pasivos, y la sofisticación operativa mediante sistemas híbridos activos de doble material que rompen las limitaciones termodinámicas. Esta dualidad consolida la arquitectura modular como el estándar industrial, pero al mismo tiempo perfila los desafíos de integración sistémica que aún deben resolverse para lograr una implementación masiva.</w:t>
      </w:r>
    </w:p>
    <w:p w:rsidR="442EAC12" w:rsidP="442EAC12" w:rsidRDefault="442EAC12" w14:paraId="5F0DAB84" w14:textId="17CFF46C">
      <w:pPr>
        <w:pStyle w:val="Normal"/>
        <w:rPr>
          <w:highlight w:val="yellow"/>
        </w:rPr>
      </w:pPr>
    </w:p>
    <w:p w:rsidR="07F8D52F" w:rsidP="37F47B7A" w:rsidRDefault="07F8D52F" w14:paraId="05EEE302" w14:textId="3145E907">
      <w:pPr>
        <w:pStyle w:val="Heading2"/>
        <w:ind w:left="1284" w:hanging="576"/>
        <w:rPr/>
      </w:pPr>
      <w:bookmarkStart w:name="_Toc207791230" w:id="8"/>
      <w:bookmarkStart w:name="_Toc307587850" w:id="2107502406"/>
      <w:commentRangeStart w:id="1938331787"/>
      <w:r w:rsidR="07F8D52F">
        <w:rPr/>
        <w:t xml:space="preserve">Análisis </w:t>
      </w:r>
      <w:bookmarkEnd w:id="8"/>
      <w:r w:rsidR="07F8D52F">
        <w:rPr/>
        <w:t>y Recomendaciones</w:t>
      </w:r>
      <w:bookmarkEnd w:id="2107502406"/>
      <w:commentRangeEnd w:id="1938331787"/>
      <w:r>
        <w:rPr>
          <w:rStyle w:val="CommentReference"/>
        </w:rPr>
        <w:commentReference w:id="1938331787"/>
      </w:r>
      <w:r w:rsidR="07F8D52F">
        <w:rPr/>
        <w:t xml:space="preserve"> </w:t>
      </w:r>
    </w:p>
    <w:p w:rsidR="1E5D2B38" w:rsidP="442EAC12" w:rsidRDefault="1E5D2B38" w14:paraId="742A9EAB" w14:textId="08B2AAB5">
      <w:pPr>
        <w:pStyle w:val="Normal"/>
      </w:pPr>
      <w:r w:rsidR="1E5D2B38">
        <w:rPr/>
        <w:t xml:space="preserve">El análisis sistemático establece de manera concluyente que la gestión térmica no es una variable auxiliar, sino el parámetro gobernante que define la eficiencia cinética, la capacidad efectiva y la integridad estructural de los sistemas de almacenamiento en hidruros metálicos. La revisión del estado del arte confirma que no existe una topología universalmente óptima; el diseño debe basarse en un compromiso de ingeniería subordinado a las restricciones de la aplicación final. Para aplicaciones estacionarias de gran escala, donde los criterios de escalabilidad, viabilidad económica y fiabilidad operativa prevalecen sobre la maximización de la densidad energética gravimétrica, la arquitectura modular se consolida como la solución técnica más robusta. </w:t>
      </w:r>
    </w:p>
    <w:p w:rsidR="12F570AC" w:rsidP="442EAC12" w:rsidRDefault="12F570AC" w14:paraId="2DBD579E" w14:textId="41548E32">
      <w:pPr>
        <w:pStyle w:val="Normal"/>
      </w:pPr>
      <w:r w:rsidR="12F570AC">
        <w:rPr/>
        <w:t xml:space="preserve">No obstante, la transición hacia una arquitectura modular conlleva desafíos de ingeniería específicos que deben abordarse sistemáticamente. Un aspecto crítico es la gestión termo hidráulica a nivel de sistema. La selección de la topología de distribución del fluido caloportador contraponiendo configuraciones en serie, que simplifican el diseño a costa de gradientes térmicos, frente a configuraciones en paralelo, que maximizan la homogeneidad </w:t>
      </w:r>
      <w:r w:rsidR="12F570AC">
        <w:rPr/>
        <w:t>térmica,</w:t>
      </w:r>
      <w:r w:rsidR="12F570AC">
        <w:rPr/>
        <w:t xml:space="preserve"> pero incrementan la complejidad hidráulica y los requisitos de bombeo representa un compromiso de diseño determinante. La optimización de esta arquitectura de flujo es imperativa, ya que un diseño ineficiente a nivel de sistema puede mitigar las mejoras de transferencia de calor logradas en los módulos individuales, comprometiendo la eficiencia global del banco.</w:t>
      </w:r>
    </w:p>
    <w:p w:rsidR="218DE785" w:rsidP="442EAC12" w:rsidRDefault="218DE785" w14:paraId="7AB550A2" w14:textId="72CC6799">
      <w:pPr>
        <w:pStyle w:val="Normal"/>
      </w:pPr>
      <w:r w:rsidR="218DE785">
        <w:rPr/>
        <w:t>El desafío se centra en la fiabilidad y durabilidad a largo plazo mas el fenómeno de la autodensificación, que provoca la compactación del polvo y el aislamiento térmico de zonas del reactor, es un mecanismo de degradación inherente que se agrava con el escalado. Esto plantea una pregunta crítica sobre cuál será el punto de fallo limitante del sistema: la degradación del material dentro de un módulo o la fatiga mecánica y térmica en las soldaduras y conexiones de alta presión que unen el sistema. Garantizar la integridad estructural y la seguridad a lo largo de miles de ciclos es uno de los retos más significativos.</w:t>
      </w:r>
    </w:p>
    <w:p w:rsidR="218DE785" w:rsidP="442EAC12" w:rsidRDefault="218DE785" w14:paraId="6AC7F08D" w14:textId="49373209">
      <w:pPr>
        <w:pStyle w:val="Normal"/>
      </w:pPr>
      <w:r w:rsidR="218DE785">
        <w:rPr/>
        <w:t xml:space="preserve">Finalmente, otro </w:t>
      </w:r>
      <w:r w:rsidR="218DE785">
        <w:rPr/>
        <w:t>desafio</w:t>
      </w:r>
      <w:r w:rsidR="218DE785">
        <w:rPr/>
        <w:t xml:space="preserve"> es la transición hacia una operación </w:t>
      </w:r>
      <w:r w:rsidR="218DE785">
        <w:rPr/>
        <w:t>dinámica,a</w:t>
      </w:r>
      <w:r w:rsidR="218DE785">
        <w:rPr/>
        <w:t xml:space="preserve"> través de un sistema de control avanzado. Es imperativo desarrollar algoritmos que no solo gestionen la carga y descarga de forma secuencial o simultánea, sino que también puedan identificar la degradación incipiente y redistribuir la carga a los módulos más saludables.</w:t>
      </w:r>
      <w:r w:rsidR="47037590">
        <w:rPr/>
        <w:t xml:space="preserve"> Endo et al. (2019) demostró que es posible orquestar la producción y el consumo en función de la demanda, mientras que la arquitectura PID en cascada de Kumar et al. (2018) probó que se pueden gestionar cargas térmicas masivas mediante la activación selectiva. </w:t>
      </w:r>
      <w:r w:rsidR="47037590">
        <w:rPr/>
        <w:t>Sin embargo, estos sistemas se centran principalmente en el balance energético y la seguridad térmica inmediata.</w:t>
      </w:r>
      <w:r w:rsidR="47037590">
        <w:rPr/>
        <w:t xml:space="preserve"> El siguiente paso es utilizar esta capacidad de control para mitigar la degradación mecánica a largo plazo.</w:t>
      </w:r>
    </w:p>
    <w:p w:rsidR="442EAC12" w:rsidP="442EAC12" w:rsidRDefault="442EAC12" w14:paraId="270DD4F8" w14:textId="0957F69F">
      <w:pPr>
        <w:pStyle w:val="Normal"/>
      </w:pPr>
    </w:p>
    <w:p xmlns:wp14="http://schemas.microsoft.com/office/word/2010/wordml" w:rsidP="1044EAB6" w14:paraId="385B75F7" wp14:textId="6DA2F8D3">
      <w:pPr>
        <w:pStyle w:val="Heading2"/>
        <w:ind w:left="1284" w:hanging="576"/>
        <w:rPr>
          <w:highlight w:val="yellow"/>
        </w:rPr>
      </w:pPr>
      <w:bookmarkStart w:name="_Toc207791231" w:id="9"/>
      <w:bookmarkStart w:name="_Toc538069664" w:id="712222448"/>
      <w:r w:rsidR="37F47B7A">
        <w:rPr/>
        <w:t>Cronograma,</w:t>
      </w:r>
      <w:bookmarkEnd w:id="9"/>
      <w:bookmarkEnd w:id="712222448"/>
    </w:p>
    <w:p xmlns:wp14="http://schemas.microsoft.com/office/word/2010/wordml" w14:paraId="4B99056E" wp14:textId="77777777">
      <w:pPr>
        <w:pStyle w:val="Normal"/>
      </w:pPr>
    </w:p>
    <w:p xmlns:wp14="http://schemas.microsoft.com/office/word/2010/wordml" w14:paraId="4E1F9A16" wp14:textId="77777777">
      <w:pPr>
        <w:pStyle w:val="Heading2"/>
        <w:ind w:left="1284" w:hanging="576"/>
        <w:rPr/>
      </w:pPr>
      <w:bookmarkStart w:name="_Toc207791232" w:id="10"/>
      <w:bookmarkStart w:name="_Toc1813978061" w:id="196379036"/>
      <w:r w:rsidR="1044EAB6">
        <w:rPr/>
        <w:t>Referencias</w:t>
      </w:r>
      <w:bookmarkEnd w:id="10"/>
      <w:bookmarkEnd w:id="196379036"/>
    </w:p>
    <w:p w:rsidR="0908ABA5" w:rsidP="442EAC12" w:rsidRDefault="0908ABA5" w14:paraId="0EA88213" w14:textId="090F3747">
      <w:pPr>
        <w:spacing w:before="240" w:beforeAutospacing="off" w:after="0" w:afterAutospacing="off"/>
        <w:ind w:left="386" w:right="0" w:hanging="386"/>
        <w:jc w:val="both"/>
        <w:rPr>
          <w:rFonts w:ascii="Arial Narrow" w:hAnsi="Arial Narrow" w:eastAsia="Arial Narrow" w:cs="Arial Narrow"/>
          <w:noProof w:val="0"/>
          <w:color w:val="000000" w:themeColor="text1" w:themeTint="FF" w:themeShade="FF"/>
          <w:sz w:val="24"/>
          <w:szCs w:val="24"/>
          <w:lang w:val="es-CO"/>
        </w:rPr>
      </w:pPr>
      <w:r w:rsidRPr="442EAC12" w:rsidR="0908ABA5">
        <w:rPr>
          <w:rFonts w:ascii="Arial Narrow" w:hAnsi="Arial Narrow" w:eastAsia="Arial Narrow" w:cs="Arial Narrow"/>
          <w:noProof w:val="0"/>
          <w:color w:val="000000" w:themeColor="text1" w:themeTint="FF" w:themeShade="FF"/>
          <w:sz w:val="24"/>
          <w:szCs w:val="24"/>
          <w:lang w:val="es-CO"/>
        </w:rPr>
        <w:t>[1]</w:t>
      </w:r>
      <w:r>
        <w:tab/>
      </w:r>
      <w:r w:rsidRPr="442EAC12" w:rsidR="0908ABA5">
        <w:rPr>
          <w:rFonts w:ascii="Arial Narrow" w:hAnsi="Arial Narrow" w:eastAsia="Arial Narrow" w:cs="Arial Narrow"/>
          <w:noProof w:val="0"/>
          <w:color w:val="000000" w:themeColor="text1" w:themeTint="FF" w:themeShade="FF"/>
          <w:sz w:val="24"/>
          <w:szCs w:val="24"/>
          <w:lang w:val="es-CO"/>
        </w:rPr>
        <w:t>M. Tange et al., «Experimental study of hydrogen storage with reaction heat recovery using metal hydride in a totalized hydrogen energy utilization system», Int. J. Hydrog. Energy, vol. 36, n.o 18, pp. 11767-11776, sep. 2011, doi: 10.1016/j.ijhydene.2011.06.023.</w:t>
      </w:r>
    </w:p>
    <w:p w:rsidR="0908ABA5" w:rsidP="442EAC12" w:rsidRDefault="0908ABA5" w14:paraId="34449539" w14:textId="55413BF8">
      <w:pPr>
        <w:pStyle w:val="Normal"/>
        <w:spacing w:before="240" w:beforeAutospacing="off" w:after="0" w:afterAutospacing="off"/>
        <w:ind w:left="386" w:right="0" w:hanging="386"/>
        <w:jc w:val="both"/>
      </w:pPr>
      <w:r w:rsidRPr="442EAC12" w:rsidR="0908ABA5">
        <w:rPr>
          <w:rFonts w:ascii="Arial Narrow" w:hAnsi="Arial Narrow" w:eastAsia="Arial Narrow" w:cs="Arial Narrow"/>
          <w:noProof w:val="0"/>
          <w:color w:val="000000" w:themeColor="text1" w:themeTint="FF" w:themeShade="FF"/>
          <w:sz w:val="24"/>
          <w:szCs w:val="24"/>
          <w:lang w:val="es-CO"/>
        </w:rPr>
        <w:t>[2]</w:t>
      </w:r>
      <w:r>
        <w:tab/>
      </w:r>
      <w:r w:rsidRPr="442EAC12" w:rsidR="0908ABA5">
        <w:rPr>
          <w:rFonts w:ascii="Arial Narrow" w:hAnsi="Arial Narrow" w:eastAsia="Arial Narrow" w:cs="Arial Narrow"/>
          <w:noProof w:val="0"/>
          <w:color w:val="000000" w:themeColor="text1" w:themeTint="FF" w:themeShade="FF"/>
          <w:sz w:val="24"/>
          <w:szCs w:val="24"/>
          <w:lang w:val="es-CO"/>
        </w:rPr>
        <w:t>N. Endo, E. Shimoda, K. Goshome, T. Yamane, T. Nozu, y T. Maeda, «Construction and operation of hydrogen energy utilization system for a zero emission building», Int. J. Hydrog. Energy, vol. 44, n.o 29, pp. 14596-14604, jun. 2019, doi: 10.1016/j.ijhydene.2019.04.107.</w:t>
      </w:r>
    </w:p>
    <w:p w:rsidR="0908ABA5" w:rsidP="442EAC12" w:rsidRDefault="0908ABA5" w14:paraId="110A98B1" w14:textId="591090DE">
      <w:pPr>
        <w:pStyle w:val="Normal"/>
        <w:spacing w:before="240" w:beforeAutospacing="off" w:after="0" w:afterAutospacing="off"/>
        <w:ind w:left="386" w:right="0" w:hanging="386"/>
        <w:jc w:val="both"/>
      </w:pPr>
      <w:r w:rsidRPr="442EAC12" w:rsidR="0908ABA5">
        <w:rPr>
          <w:rFonts w:ascii="Arial Narrow" w:hAnsi="Arial Narrow" w:eastAsia="Arial Narrow" w:cs="Arial Narrow"/>
          <w:noProof w:val="0"/>
          <w:color w:val="000000" w:themeColor="text1" w:themeTint="FF" w:themeShade="FF"/>
          <w:sz w:val="24"/>
          <w:szCs w:val="24"/>
          <w:lang w:val="es-CO"/>
        </w:rPr>
        <w:t>[3]</w:t>
      </w:r>
      <w:r>
        <w:tab/>
      </w:r>
      <w:r w:rsidRPr="442EAC12" w:rsidR="0908ABA5">
        <w:rPr>
          <w:rFonts w:ascii="Arial Narrow" w:hAnsi="Arial Narrow" w:eastAsia="Arial Narrow" w:cs="Arial Narrow"/>
          <w:noProof w:val="0"/>
          <w:color w:val="000000" w:themeColor="text1" w:themeTint="FF" w:themeShade="FF"/>
          <w:sz w:val="24"/>
          <w:szCs w:val="24"/>
          <w:lang w:val="es-CO"/>
        </w:rPr>
        <w:t>V. Kudiiarov, R. Elman, N. Pushilina, y N. Kurdyumov, «State of the Art in Development of Heat Exchanger Geometry Optimization and Different Storage Bed Designs of a Metal Hydride Reactor», Materials, vol. 16, n.o 13, p. 4891, jul. 2023, doi: 10.3390/ma16134891.</w:t>
      </w:r>
    </w:p>
    <w:p w:rsidR="0908ABA5" w:rsidP="442EAC12" w:rsidRDefault="0908ABA5" w14:paraId="785F2B52" w14:textId="62CABCC7">
      <w:pPr>
        <w:pStyle w:val="Normal"/>
        <w:spacing w:before="240" w:beforeAutospacing="off" w:after="0" w:afterAutospacing="off"/>
        <w:ind w:left="386" w:right="0" w:hanging="386"/>
        <w:jc w:val="both"/>
      </w:pPr>
      <w:r w:rsidRPr="442EAC12" w:rsidR="0908ABA5">
        <w:rPr>
          <w:rFonts w:ascii="Arial Narrow" w:hAnsi="Arial Narrow" w:eastAsia="Arial Narrow" w:cs="Arial Narrow"/>
          <w:noProof w:val="0"/>
          <w:color w:val="000000" w:themeColor="text1" w:themeTint="FF" w:themeShade="FF"/>
          <w:sz w:val="24"/>
          <w:szCs w:val="24"/>
          <w:lang w:val="es-CO"/>
        </w:rPr>
        <w:t>[4]</w:t>
      </w:r>
      <w:r>
        <w:tab/>
      </w:r>
      <w:r w:rsidRPr="442EAC12" w:rsidR="0908ABA5">
        <w:rPr>
          <w:rFonts w:ascii="Arial Narrow" w:hAnsi="Arial Narrow" w:eastAsia="Arial Narrow" w:cs="Arial Narrow"/>
          <w:noProof w:val="0"/>
          <w:color w:val="000000" w:themeColor="text1" w:themeTint="FF" w:themeShade="FF"/>
          <w:sz w:val="24"/>
          <w:szCs w:val="24"/>
          <w:lang w:val="es-CO"/>
        </w:rPr>
        <w:t>A. Chaise, P. De Rango, Ph. Marty, y D. Fruchart, «Experimental and numerical study of a magnesium hydride tank», Int. J. Hydrog. Energy, vol. 35, n.o 12, pp. 6311-6322, jun. 2010, doi: 10.1016/j.ijhydene.2010.03.057.</w:t>
      </w:r>
    </w:p>
    <w:p w:rsidR="0908ABA5" w:rsidP="442EAC12" w:rsidRDefault="0908ABA5" w14:paraId="0286AE15" w14:textId="1A11B675">
      <w:pPr>
        <w:pStyle w:val="Normal"/>
        <w:spacing w:before="240" w:beforeAutospacing="off" w:after="0" w:afterAutospacing="off"/>
        <w:ind w:left="386" w:right="0" w:hanging="386"/>
        <w:jc w:val="both"/>
      </w:pPr>
      <w:r w:rsidRPr="442EAC12" w:rsidR="0908ABA5">
        <w:rPr>
          <w:rFonts w:ascii="Arial Narrow" w:hAnsi="Arial Narrow" w:eastAsia="Arial Narrow" w:cs="Arial Narrow"/>
          <w:noProof w:val="0"/>
          <w:color w:val="000000" w:themeColor="text1" w:themeTint="FF" w:themeShade="FF"/>
          <w:sz w:val="24"/>
          <w:szCs w:val="24"/>
          <w:lang w:val="es-CO"/>
        </w:rPr>
        <w:t>[5]</w:t>
      </w:r>
      <w:r>
        <w:tab/>
      </w:r>
      <w:r w:rsidRPr="442EAC12" w:rsidR="0908ABA5">
        <w:rPr>
          <w:rFonts w:ascii="Arial Narrow" w:hAnsi="Arial Narrow" w:eastAsia="Arial Narrow" w:cs="Arial Narrow"/>
          <w:noProof w:val="0"/>
          <w:color w:val="000000" w:themeColor="text1" w:themeTint="FF" w:themeShade="FF"/>
          <w:sz w:val="24"/>
          <w:szCs w:val="24"/>
          <w:lang w:val="es-CO"/>
        </w:rPr>
        <w:t>H. El Alem et al., «A modular MgH2 demonstration tank to store reversibly hydrogen», Int. J. Hydrog. Energy, vol. 155, p. 150341, ago. 2025, doi: 10.1016/j.ijhydene.2025.150341.</w:t>
      </w:r>
    </w:p>
    <w:p w:rsidR="0908ABA5" w:rsidP="442EAC12" w:rsidRDefault="0908ABA5" w14:paraId="35B6CF13" w14:textId="19030E3A">
      <w:pPr>
        <w:pStyle w:val="Normal"/>
        <w:spacing w:before="240" w:beforeAutospacing="off" w:after="0" w:afterAutospacing="off"/>
        <w:ind w:left="386" w:right="0" w:hanging="386"/>
        <w:jc w:val="both"/>
      </w:pPr>
      <w:r w:rsidRPr="442EAC12" w:rsidR="0908ABA5">
        <w:rPr>
          <w:rFonts w:ascii="Arial Narrow" w:hAnsi="Arial Narrow" w:eastAsia="Arial Narrow" w:cs="Arial Narrow"/>
          <w:noProof w:val="0"/>
          <w:color w:val="000000" w:themeColor="text1" w:themeTint="FF" w:themeShade="FF"/>
          <w:sz w:val="24"/>
          <w:szCs w:val="24"/>
          <w:lang w:val="es-CO"/>
        </w:rPr>
        <w:t>[6]</w:t>
      </w:r>
      <w:r>
        <w:tab/>
      </w:r>
      <w:r w:rsidRPr="442EAC12" w:rsidR="0908ABA5">
        <w:rPr>
          <w:rFonts w:ascii="Arial Narrow" w:hAnsi="Arial Narrow" w:eastAsia="Arial Narrow" w:cs="Arial Narrow"/>
          <w:noProof w:val="0"/>
          <w:color w:val="000000" w:themeColor="text1" w:themeTint="FF" w:themeShade="FF"/>
          <w:sz w:val="24"/>
          <w:szCs w:val="24"/>
          <w:lang w:val="es-CO"/>
        </w:rPr>
        <w:t>F. Askri, M. Bensalah, A. Jemni, y S. Bennasrallah, «Optimization of hydrogen storage in metal-hydride tanks», Int. J. Hydrog. Energy, vol. 34, n.o 2, pp. 897-905, ene. 2009, doi: 10.1016/j.ijhydene.2008.11.021.</w:t>
      </w:r>
    </w:p>
    <w:p w:rsidR="0908ABA5" w:rsidP="442EAC12" w:rsidRDefault="0908ABA5" w14:paraId="7560B2D4" w14:textId="1B8EEF6F">
      <w:pPr>
        <w:pStyle w:val="Normal"/>
        <w:spacing w:before="240" w:beforeAutospacing="off" w:after="0" w:afterAutospacing="off"/>
        <w:ind w:left="386" w:right="0" w:hanging="386"/>
        <w:jc w:val="both"/>
      </w:pPr>
      <w:r w:rsidRPr="442EAC12" w:rsidR="0908ABA5">
        <w:rPr>
          <w:rFonts w:ascii="Arial Narrow" w:hAnsi="Arial Narrow" w:eastAsia="Arial Narrow" w:cs="Arial Narrow"/>
          <w:noProof w:val="0"/>
          <w:color w:val="000000" w:themeColor="text1" w:themeTint="FF" w:themeShade="FF"/>
          <w:sz w:val="24"/>
          <w:szCs w:val="24"/>
          <w:lang w:val="es-CO"/>
        </w:rPr>
        <w:t>[7]</w:t>
      </w:r>
      <w:r>
        <w:tab/>
      </w:r>
      <w:r w:rsidRPr="442EAC12" w:rsidR="0908ABA5">
        <w:rPr>
          <w:rFonts w:ascii="Arial Narrow" w:hAnsi="Arial Narrow" w:eastAsia="Arial Narrow" w:cs="Arial Narrow"/>
          <w:noProof w:val="0"/>
          <w:color w:val="000000" w:themeColor="text1" w:themeTint="FF" w:themeShade="FF"/>
          <w:sz w:val="24"/>
          <w:szCs w:val="24"/>
          <w:lang w:val="es-CO"/>
        </w:rPr>
        <w:t>E. H. Jensen, M. Dornheim, y S. Sartori, «Scaling up Metal Hydrides for Real-Scale Applications: Achievements, Challenges and Outlook», Inorganics, vol. 9, n.o 5, p. 37, may 2021, doi: 10.3390/inorganics9050037.</w:t>
      </w:r>
    </w:p>
    <w:p w:rsidR="0908ABA5" w:rsidP="442EAC12" w:rsidRDefault="0908ABA5" w14:paraId="1DD8ED42" w14:textId="76079FC6">
      <w:pPr>
        <w:pStyle w:val="Normal"/>
        <w:spacing w:before="240" w:beforeAutospacing="off" w:after="0" w:afterAutospacing="off"/>
        <w:ind w:left="386" w:right="0" w:hanging="386"/>
        <w:jc w:val="both"/>
      </w:pPr>
      <w:r w:rsidRPr="442EAC12" w:rsidR="0908ABA5">
        <w:rPr>
          <w:rFonts w:ascii="Arial Narrow" w:hAnsi="Arial Narrow" w:eastAsia="Arial Narrow" w:cs="Arial Narrow"/>
          <w:noProof w:val="0"/>
          <w:color w:val="000000" w:themeColor="text1" w:themeTint="FF" w:themeShade="FF"/>
          <w:sz w:val="24"/>
          <w:szCs w:val="24"/>
          <w:lang w:val="es-CO"/>
        </w:rPr>
        <w:t>[8]</w:t>
      </w:r>
      <w:r>
        <w:tab/>
      </w:r>
      <w:r w:rsidRPr="442EAC12" w:rsidR="0908ABA5">
        <w:rPr>
          <w:rFonts w:ascii="Arial Narrow" w:hAnsi="Arial Narrow" w:eastAsia="Arial Narrow" w:cs="Arial Narrow"/>
          <w:noProof w:val="0"/>
          <w:color w:val="000000" w:themeColor="text1" w:themeTint="FF" w:themeShade="FF"/>
          <w:sz w:val="24"/>
          <w:szCs w:val="24"/>
          <w:lang w:val="es-CO"/>
        </w:rPr>
        <w:t>L. Ji et al., «Numerical analysis of hydrogen absorption in a large-scale modular metal hydride reactor with a hybrid heat exchanger comprising an internal finned tube and an external helical coil», Int. J. Heat Mass Transf., vol. 256, p. 127987, mar. 2026, doi: 10.1016/j.ijheatmasstransfer.2025.127987.</w:t>
      </w:r>
    </w:p>
    <w:p w:rsidR="0908ABA5" w:rsidP="442EAC12" w:rsidRDefault="0908ABA5" w14:paraId="6C2FD359" w14:textId="210F1DE6">
      <w:pPr>
        <w:pStyle w:val="Normal"/>
        <w:spacing w:before="240" w:beforeAutospacing="off" w:after="0" w:afterAutospacing="off"/>
        <w:ind w:left="386" w:right="0" w:hanging="386"/>
        <w:jc w:val="both"/>
      </w:pPr>
      <w:r w:rsidRPr="442EAC12" w:rsidR="0908ABA5">
        <w:rPr>
          <w:rFonts w:ascii="Arial Narrow" w:hAnsi="Arial Narrow" w:eastAsia="Arial Narrow" w:cs="Arial Narrow"/>
          <w:noProof w:val="0"/>
          <w:color w:val="000000" w:themeColor="text1" w:themeTint="FF" w:themeShade="FF"/>
          <w:sz w:val="24"/>
          <w:szCs w:val="24"/>
          <w:lang w:val="es-CO"/>
        </w:rPr>
        <w:t>[9]</w:t>
      </w:r>
      <w:r>
        <w:tab/>
      </w:r>
      <w:r w:rsidRPr="442EAC12" w:rsidR="0908ABA5">
        <w:rPr>
          <w:rFonts w:ascii="Arial Narrow" w:hAnsi="Arial Narrow" w:eastAsia="Arial Narrow" w:cs="Arial Narrow"/>
          <w:noProof w:val="0"/>
          <w:color w:val="000000" w:themeColor="text1" w:themeTint="FF" w:themeShade="FF"/>
          <w:sz w:val="24"/>
          <w:szCs w:val="24"/>
          <w:lang w:val="es-CO"/>
        </w:rPr>
        <w:t>S. Mellouli, F. Askri, E. Abhilash, y S. Ben Nasrallah, «Impact of using a heat transfer fluid pipe in a metal hydride-phase change material tank», Appl. Therm. Eng., vol. 113, pp. 554-565, feb. 2017, doi: 10.1016/j.applthermaleng.2016.11.065.</w:t>
      </w:r>
    </w:p>
    <w:p w:rsidR="0908ABA5" w:rsidP="442EAC12" w:rsidRDefault="0908ABA5" w14:paraId="7A0D9638" w14:textId="0CA43272">
      <w:pPr>
        <w:pStyle w:val="Normal"/>
        <w:spacing w:before="240" w:beforeAutospacing="off" w:after="0" w:afterAutospacing="off"/>
        <w:ind w:left="386" w:right="0" w:hanging="386"/>
        <w:jc w:val="both"/>
      </w:pPr>
      <w:r w:rsidRPr="442EAC12" w:rsidR="0908ABA5">
        <w:rPr>
          <w:rFonts w:ascii="Arial Narrow" w:hAnsi="Arial Narrow" w:eastAsia="Arial Narrow" w:cs="Arial Narrow"/>
          <w:noProof w:val="0"/>
          <w:color w:val="000000" w:themeColor="text1" w:themeTint="FF" w:themeShade="FF"/>
          <w:sz w:val="24"/>
          <w:szCs w:val="24"/>
          <w:lang w:val="es-CO"/>
        </w:rPr>
        <w:t>[10]</w:t>
      </w:r>
      <w:r>
        <w:tab/>
      </w:r>
      <w:r w:rsidRPr="442EAC12" w:rsidR="0908ABA5">
        <w:rPr>
          <w:rFonts w:ascii="Arial Narrow" w:hAnsi="Arial Narrow" w:eastAsia="Arial Narrow" w:cs="Arial Narrow"/>
          <w:noProof w:val="0"/>
          <w:color w:val="000000" w:themeColor="text1" w:themeTint="FF" w:themeShade="FF"/>
          <w:sz w:val="24"/>
          <w:szCs w:val="24"/>
          <w:lang w:val="es-CO"/>
        </w:rPr>
        <w:t>A. Singh, M. P. Maiya, y S. S. Murthy, «Effects of heat exchanger design on the performance of a solid state hydrogen storage device», Int. J. Hydrog. Energy, vol. 40, n.o 31, pp. 9733-9746, ago. 2015, doi: 10.1016/j.ijhydene.2015.06.015.</w:t>
      </w:r>
    </w:p>
    <w:p w:rsidR="0908ABA5" w:rsidP="442EAC12" w:rsidRDefault="0908ABA5" w14:paraId="03EA655C" w14:textId="607B1876">
      <w:pPr>
        <w:pStyle w:val="Normal"/>
        <w:spacing w:before="240" w:beforeAutospacing="off" w:after="0" w:afterAutospacing="off"/>
        <w:ind w:left="386" w:right="0" w:hanging="386"/>
        <w:jc w:val="both"/>
      </w:pPr>
      <w:r w:rsidRPr="442EAC12" w:rsidR="0908ABA5">
        <w:rPr>
          <w:rFonts w:ascii="Arial Narrow" w:hAnsi="Arial Narrow" w:eastAsia="Arial Narrow" w:cs="Arial Narrow"/>
          <w:noProof w:val="0"/>
          <w:color w:val="000000" w:themeColor="text1" w:themeTint="FF" w:themeShade="FF"/>
          <w:sz w:val="24"/>
          <w:szCs w:val="24"/>
          <w:lang w:val="en-US"/>
        </w:rPr>
        <w:t>[11]</w:t>
      </w:r>
      <w:r>
        <w:tab/>
      </w:r>
      <w:r w:rsidRPr="442EAC12" w:rsidR="0908ABA5">
        <w:rPr>
          <w:rFonts w:ascii="Arial Narrow" w:hAnsi="Arial Narrow" w:eastAsia="Arial Narrow" w:cs="Arial Narrow"/>
          <w:noProof w:val="0"/>
          <w:color w:val="000000" w:themeColor="text1" w:themeTint="FF" w:themeShade="FF"/>
          <w:sz w:val="24"/>
          <w:szCs w:val="24"/>
          <w:lang w:val="en-US"/>
        </w:rPr>
        <w:t xml:space="preserve">M. Afzal y P. Sharma, «Design of a large-scale metal </w:t>
      </w:r>
      <w:r w:rsidRPr="442EAC12" w:rsidR="0908ABA5">
        <w:rPr>
          <w:rFonts w:ascii="Arial Narrow" w:hAnsi="Arial Narrow" w:eastAsia="Arial Narrow" w:cs="Arial Narrow"/>
          <w:noProof w:val="0"/>
          <w:color w:val="000000" w:themeColor="text1" w:themeTint="FF" w:themeShade="FF"/>
          <w:sz w:val="24"/>
          <w:szCs w:val="24"/>
          <w:lang w:val="en-US"/>
        </w:rPr>
        <w:t>hydride based</w:t>
      </w:r>
      <w:r w:rsidRPr="442EAC12" w:rsidR="0908ABA5">
        <w:rPr>
          <w:rFonts w:ascii="Arial Narrow" w:hAnsi="Arial Narrow" w:eastAsia="Arial Narrow" w:cs="Arial Narrow"/>
          <w:noProof w:val="0"/>
          <w:color w:val="000000" w:themeColor="text1" w:themeTint="FF" w:themeShade="FF"/>
          <w:sz w:val="24"/>
          <w:szCs w:val="24"/>
          <w:lang w:val="en-US"/>
        </w:rPr>
        <w:t xml:space="preserve"> hydrogen storage reactor: Simulation and heat transfer optimization», Int. J. </w:t>
      </w:r>
      <w:r w:rsidRPr="442EAC12" w:rsidR="0908ABA5">
        <w:rPr>
          <w:rFonts w:ascii="Arial Narrow" w:hAnsi="Arial Narrow" w:eastAsia="Arial Narrow" w:cs="Arial Narrow"/>
          <w:noProof w:val="0"/>
          <w:color w:val="000000" w:themeColor="text1" w:themeTint="FF" w:themeShade="FF"/>
          <w:sz w:val="24"/>
          <w:szCs w:val="24"/>
          <w:lang w:val="en-US"/>
        </w:rPr>
        <w:t>Hydrog</w:t>
      </w:r>
      <w:r w:rsidRPr="442EAC12" w:rsidR="0908ABA5">
        <w:rPr>
          <w:rFonts w:ascii="Arial Narrow" w:hAnsi="Arial Narrow" w:eastAsia="Arial Narrow" w:cs="Arial Narrow"/>
          <w:noProof w:val="0"/>
          <w:color w:val="000000" w:themeColor="text1" w:themeTint="FF" w:themeShade="FF"/>
          <w:sz w:val="24"/>
          <w:szCs w:val="24"/>
          <w:lang w:val="en-US"/>
        </w:rPr>
        <w:t xml:space="preserve">. Energy, vol. 43, </w:t>
      </w:r>
      <w:r w:rsidRPr="442EAC12" w:rsidR="0908ABA5">
        <w:rPr>
          <w:rFonts w:ascii="Arial Narrow" w:hAnsi="Arial Narrow" w:eastAsia="Arial Narrow" w:cs="Arial Narrow"/>
          <w:noProof w:val="0"/>
          <w:color w:val="000000" w:themeColor="text1" w:themeTint="FF" w:themeShade="FF"/>
          <w:sz w:val="24"/>
          <w:szCs w:val="24"/>
          <w:lang w:val="en-US"/>
        </w:rPr>
        <w:t>n.o</w:t>
      </w:r>
      <w:r w:rsidRPr="442EAC12" w:rsidR="0908ABA5">
        <w:rPr>
          <w:rFonts w:ascii="Arial Narrow" w:hAnsi="Arial Narrow" w:eastAsia="Arial Narrow" w:cs="Arial Narrow"/>
          <w:noProof w:val="0"/>
          <w:color w:val="000000" w:themeColor="text1" w:themeTint="FF" w:themeShade="FF"/>
          <w:sz w:val="24"/>
          <w:szCs w:val="24"/>
          <w:lang w:val="en-US"/>
        </w:rPr>
        <w:t xml:space="preserve"> 29, pp. 13356-13372, </w:t>
      </w:r>
      <w:r w:rsidRPr="442EAC12" w:rsidR="0908ABA5">
        <w:rPr>
          <w:rFonts w:ascii="Arial Narrow" w:hAnsi="Arial Narrow" w:eastAsia="Arial Narrow" w:cs="Arial Narrow"/>
          <w:noProof w:val="0"/>
          <w:color w:val="000000" w:themeColor="text1" w:themeTint="FF" w:themeShade="FF"/>
          <w:sz w:val="24"/>
          <w:szCs w:val="24"/>
          <w:lang w:val="en-US"/>
        </w:rPr>
        <w:t>jul.</w:t>
      </w:r>
      <w:r w:rsidRPr="442EAC12" w:rsidR="0908ABA5">
        <w:rPr>
          <w:rFonts w:ascii="Arial Narrow" w:hAnsi="Arial Narrow" w:eastAsia="Arial Narrow" w:cs="Arial Narrow"/>
          <w:noProof w:val="0"/>
          <w:color w:val="000000" w:themeColor="text1" w:themeTint="FF" w:themeShade="FF"/>
          <w:sz w:val="24"/>
          <w:szCs w:val="24"/>
          <w:lang w:val="en-US"/>
        </w:rPr>
        <w:t xml:space="preserve"> 2018, </w:t>
      </w:r>
      <w:r w:rsidRPr="442EAC12" w:rsidR="0908ABA5">
        <w:rPr>
          <w:rFonts w:ascii="Arial Narrow" w:hAnsi="Arial Narrow" w:eastAsia="Arial Narrow" w:cs="Arial Narrow"/>
          <w:noProof w:val="0"/>
          <w:color w:val="000000" w:themeColor="text1" w:themeTint="FF" w:themeShade="FF"/>
          <w:sz w:val="24"/>
          <w:szCs w:val="24"/>
          <w:lang w:val="en-US"/>
        </w:rPr>
        <w:t>doi</w:t>
      </w:r>
      <w:r w:rsidRPr="442EAC12" w:rsidR="0908ABA5">
        <w:rPr>
          <w:rFonts w:ascii="Arial Narrow" w:hAnsi="Arial Narrow" w:eastAsia="Arial Narrow" w:cs="Arial Narrow"/>
          <w:noProof w:val="0"/>
          <w:color w:val="000000" w:themeColor="text1" w:themeTint="FF" w:themeShade="FF"/>
          <w:sz w:val="24"/>
          <w:szCs w:val="24"/>
          <w:lang w:val="en-US"/>
        </w:rPr>
        <w:t>: 10.1016/j.ijhydene.2018.05.084.</w:t>
      </w:r>
    </w:p>
    <w:p w:rsidR="0908ABA5" w:rsidP="442EAC12" w:rsidRDefault="0908ABA5" w14:paraId="1775254A" w14:textId="5971FDFA">
      <w:pPr>
        <w:pStyle w:val="Normal"/>
        <w:spacing w:before="240" w:beforeAutospacing="off" w:after="0" w:afterAutospacing="off"/>
        <w:ind w:left="386" w:right="0" w:hanging="386"/>
        <w:jc w:val="both"/>
      </w:pPr>
      <w:r w:rsidRPr="442EAC12" w:rsidR="0908ABA5">
        <w:rPr>
          <w:rFonts w:ascii="Arial Narrow" w:hAnsi="Arial Narrow" w:eastAsia="Arial Narrow" w:cs="Arial Narrow"/>
          <w:noProof w:val="0"/>
          <w:color w:val="000000" w:themeColor="text1" w:themeTint="FF" w:themeShade="FF"/>
          <w:sz w:val="24"/>
          <w:szCs w:val="24"/>
          <w:lang w:val="en-US"/>
        </w:rPr>
        <w:t>[12]</w:t>
      </w:r>
      <w:r>
        <w:tab/>
      </w:r>
      <w:r w:rsidRPr="442EAC12" w:rsidR="0908ABA5">
        <w:rPr>
          <w:rFonts w:ascii="Arial Narrow" w:hAnsi="Arial Narrow" w:eastAsia="Arial Narrow" w:cs="Arial Narrow"/>
          <w:noProof w:val="0"/>
          <w:color w:val="000000" w:themeColor="text1" w:themeTint="FF" w:themeShade="FF"/>
          <w:sz w:val="24"/>
          <w:szCs w:val="24"/>
          <w:lang w:val="en-US"/>
        </w:rPr>
        <w:t xml:space="preserve">S. D. Lewis y P. </w:t>
      </w:r>
      <w:r w:rsidRPr="442EAC12" w:rsidR="0908ABA5">
        <w:rPr>
          <w:rFonts w:ascii="Arial Narrow" w:hAnsi="Arial Narrow" w:eastAsia="Arial Narrow" w:cs="Arial Narrow"/>
          <w:noProof w:val="0"/>
          <w:color w:val="000000" w:themeColor="text1" w:themeTint="FF" w:themeShade="FF"/>
          <w:sz w:val="24"/>
          <w:szCs w:val="24"/>
          <w:lang w:val="en-US"/>
        </w:rPr>
        <w:t>Chippar</w:t>
      </w:r>
      <w:r w:rsidRPr="442EAC12" w:rsidR="0908ABA5">
        <w:rPr>
          <w:rFonts w:ascii="Arial Narrow" w:hAnsi="Arial Narrow" w:eastAsia="Arial Narrow" w:cs="Arial Narrow"/>
          <w:noProof w:val="0"/>
          <w:color w:val="000000" w:themeColor="text1" w:themeTint="FF" w:themeShade="FF"/>
          <w:sz w:val="24"/>
          <w:szCs w:val="24"/>
          <w:lang w:val="en-US"/>
        </w:rPr>
        <w:t>, «</w:t>
      </w:r>
      <w:r w:rsidRPr="442EAC12" w:rsidR="0908ABA5">
        <w:rPr>
          <w:rFonts w:ascii="Arial Narrow" w:hAnsi="Arial Narrow" w:eastAsia="Arial Narrow" w:cs="Arial Narrow"/>
          <w:noProof w:val="0"/>
          <w:color w:val="000000" w:themeColor="text1" w:themeTint="FF" w:themeShade="FF"/>
          <w:sz w:val="24"/>
          <w:szCs w:val="24"/>
          <w:lang w:val="en-US"/>
        </w:rPr>
        <w:t>Numerical</w:t>
      </w:r>
      <w:r w:rsidRPr="442EAC12" w:rsidR="0908ABA5">
        <w:rPr>
          <w:rFonts w:ascii="Arial Narrow" w:hAnsi="Arial Narrow" w:eastAsia="Arial Narrow" w:cs="Arial Narrow"/>
          <w:noProof w:val="0"/>
          <w:color w:val="000000" w:themeColor="text1" w:themeTint="FF" w:themeShade="FF"/>
          <w:sz w:val="24"/>
          <w:szCs w:val="24"/>
          <w:lang w:val="en-US"/>
        </w:rPr>
        <w:t xml:space="preserve"> </w:t>
      </w:r>
      <w:r w:rsidRPr="442EAC12" w:rsidR="0908ABA5">
        <w:rPr>
          <w:rFonts w:ascii="Arial Narrow" w:hAnsi="Arial Narrow" w:eastAsia="Arial Narrow" w:cs="Arial Narrow"/>
          <w:noProof w:val="0"/>
          <w:color w:val="000000" w:themeColor="text1" w:themeTint="FF" w:themeShade="FF"/>
          <w:sz w:val="24"/>
          <w:szCs w:val="24"/>
          <w:lang w:val="en-US"/>
        </w:rPr>
        <w:t>investigation</w:t>
      </w:r>
      <w:r w:rsidRPr="442EAC12" w:rsidR="0908ABA5">
        <w:rPr>
          <w:rFonts w:ascii="Arial Narrow" w:hAnsi="Arial Narrow" w:eastAsia="Arial Narrow" w:cs="Arial Narrow"/>
          <w:noProof w:val="0"/>
          <w:color w:val="000000" w:themeColor="text1" w:themeTint="FF" w:themeShade="FF"/>
          <w:sz w:val="24"/>
          <w:szCs w:val="24"/>
          <w:lang w:val="en-US"/>
        </w:rPr>
        <w:t xml:space="preserve"> </w:t>
      </w:r>
      <w:r w:rsidRPr="442EAC12" w:rsidR="0908ABA5">
        <w:rPr>
          <w:rFonts w:ascii="Arial Narrow" w:hAnsi="Arial Narrow" w:eastAsia="Arial Narrow" w:cs="Arial Narrow"/>
          <w:noProof w:val="0"/>
          <w:color w:val="000000" w:themeColor="text1" w:themeTint="FF" w:themeShade="FF"/>
          <w:sz w:val="24"/>
          <w:szCs w:val="24"/>
          <w:lang w:val="en-US"/>
        </w:rPr>
        <w:t>of</w:t>
      </w:r>
      <w:r w:rsidRPr="442EAC12" w:rsidR="0908ABA5">
        <w:rPr>
          <w:rFonts w:ascii="Arial Narrow" w:hAnsi="Arial Narrow" w:eastAsia="Arial Narrow" w:cs="Arial Narrow"/>
          <w:noProof w:val="0"/>
          <w:color w:val="000000" w:themeColor="text1" w:themeTint="FF" w:themeShade="FF"/>
          <w:sz w:val="24"/>
          <w:szCs w:val="24"/>
          <w:lang w:val="en-US"/>
        </w:rPr>
        <w:t xml:space="preserve"> </w:t>
      </w:r>
      <w:r w:rsidRPr="442EAC12" w:rsidR="0908ABA5">
        <w:rPr>
          <w:rFonts w:ascii="Arial Narrow" w:hAnsi="Arial Narrow" w:eastAsia="Arial Narrow" w:cs="Arial Narrow"/>
          <w:noProof w:val="0"/>
          <w:color w:val="000000" w:themeColor="text1" w:themeTint="FF" w:themeShade="FF"/>
          <w:sz w:val="24"/>
          <w:szCs w:val="24"/>
          <w:lang w:val="en-US"/>
        </w:rPr>
        <w:t>hydrogen</w:t>
      </w:r>
      <w:r w:rsidRPr="442EAC12" w:rsidR="0908ABA5">
        <w:rPr>
          <w:rFonts w:ascii="Arial Narrow" w:hAnsi="Arial Narrow" w:eastAsia="Arial Narrow" w:cs="Arial Narrow"/>
          <w:noProof w:val="0"/>
          <w:color w:val="000000" w:themeColor="text1" w:themeTint="FF" w:themeShade="FF"/>
          <w:sz w:val="24"/>
          <w:szCs w:val="24"/>
          <w:lang w:val="en-US"/>
        </w:rPr>
        <w:t xml:space="preserve"> </w:t>
      </w:r>
      <w:r w:rsidRPr="442EAC12" w:rsidR="0908ABA5">
        <w:rPr>
          <w:rFonts w:ascii="Arial Narrow" w:hAnsi="Arial Narrow" w:eastAsia="Arial Narrow" w:cs="Arial Narrow"/>
          <w:noProof w:val="0"/>
          <w:color w:val="000000" w:themeColor="text1" w:themeTint="FF" w:themeShade="FF"/>
          <w:sz w:val="24"/>
          <w:szCs w:val="24"/>
          <w:lang w:val="en-US"/>
        </w:rPr>
        <w:t>absorption</w:t>
      </w:r>
      <w:r w:rsidRPr="442EAC12" w:rsidR="0908ABA5">
        <w:rPr>
          <w:rFonts w:ascii="Arial Narrow" w:hAnsi="Arial Narrow" w:eastAsia="Arial Narrow" w:cs="Arial Narrow"/>
          <w:noProof w:val="0"/>
          <w:color w:val="000000" w:themeColor="text1" w:themeTint="FF" w:themeShade="FF"/>
          <w:sz w:val="24"/>
          <w:szCs w:val="24"/>
          <w:lang w:val="en-US"/>
        </w:rPr>
        <w:t xml:space="preserve"> in a metal </w:t>
      </w:r>
      <w:r w:rsidRPr="442EAC12" w:rsidR="0908ABA5">
        <w:rPr>
          <w:rFonts w:ascii="Arial Narrow" w:hAnsi="Arial Narrow" w:eastAsia="Arial Narrow" w:cs="Arial Narrow"/>
          <w:noProof w:val="0"/>
          <w:color w:val="000000" w:themeColor="text1" w:themeTint="FF" w:themeShade="FF"/>
          <w:sz w:val="24"/>
          <w:szCs w:val="24"/>
          <w:lang w:val="en-US"/>
        </w:rPr>
        <w:t>hydride</w:t>
      </w:r>
      <w:r w:rsidRPr="442EAC12" w:rsidR="0908ABA5">
        <w:rPr>
          <w:rFonts w:ascii="Arial Narrow" w:hAnsi="Arial Narrow" w:eastAsia="Arial Narrow" w:cs="Arial Narrow"/>
          <w:noProof w:val="0"/>
          <w:color w:val="000000" w:themeColor="text1" w:themeTint="FF" w:themeShade="FF"/>
          <w:sz w:val="24"/>
          <w:szCs w:val="24"/>
          <w:lang w:val="en-US"/>
        </w:rPr>
        <w:t xml:space="preserve"> reactor </w:t>
      </w:r>
      <w:r w:rsidRPr="442EAC12" w:rsidR="0908ABA5">
        <w:rPr>
          <w:rFonts w:ascii="Arial Narrow" w:hAnsi="Arial Narrow" w:eastAsia="Arial Narrow" w:cs="Arial Narrow"/>
          <w:noProof w:val="0"/>
          <w:color w:val="000000" w:themeColor="text1" w:themeTint="FF" w:themeShade="FF"/>
          <w:sz w:val="24"/>
          <w:szCs w:val="24"/>
          <w:lang w:val="en-US"/>
        </w:rPr>
        <w:t>with</w:t>
      </w:r>
      <w:r w:rsidRPr="442EAC12" w:rsidR="0908ABA5">
        <w:rPr>
          <w:rFonts w:ascii="Arial Narrow" w:hAnsi="Arial Narrow" w:eastAsia="Arial Narrow" w:cs="Arial Narrow"/>
          <w:noProof w:val="0"/>
          <w:color w:val="000000" w:themeColor="text1" w:themeTint="FF" w:themeShade="FF"/>
          <w:sz w:val="24"/>
          <w:szCs w:val="24"/>
          <w:lang w:val="en-US"/>
        </w:rPr>
        <w:t xml:space="preserve"> </w:t>
      </w:r>
      <w:r w:rsidRPr="442EAC12" w:rsidR="0908ABA5">
        <w:rPr>
          <w:rFonts w:ascii="Arial Narrow" w:hAnsi="Arial Narrow" w:eastAsia="Arial Narrow" w:cs="Arial Narrow"/>
          <w:noProof w:val="0"/>
          <w:color w:val="000000" w:themeColor="text1" w:themeTint="FF" w:themeShade="FF"/>
          <w:sz w:val="24"/>
          <w:szCs w:val="24"/>
          <w:lang w:val="en-US"/>
        </w:rPr>
        <w:t>embedded</w:t>
      </w:r>
      <w:r w:rsidRPr="442EAC12" w:rsidR="0908ABA5">
        <w:rPr>
          <w:rFonts w:ascii="Arial Narrow" w:hAnsi="Arial Narrow" w:eastAsia="Arial Narrow" w:cs="Arial Narrow"/>
          <w:noProof w:val="0"/>
          <w:color w:val="000000" w:themeColor="text1" w:themeTint="FF" w:themeShade="FF"/>
          <w:sz w:val="24"/>
          <w:szCs w:val="24"/>
          <w:lang w:val="en-US"/>
        </w:rPr>
        <w:t xml:space="preserve"> </w:t>
      </w:r>
      <w:r w:rsidRPr="442EAC12" w:rsidR="0908ABA5">
        <w:rPr>
          <w:rFonts w:ascii="Arial Narrow" w:hAnsi="Arial Narrow" w:eastAsia="Arial Narrow" w:cs="Arial Narrow"/>
          <w:noProof w:val="0"/>
          <w:color w:val="000000" w:themeColor="text1" w:themeTint="FF" w:themeShade="FF"/>
          <w:sz w:val="24"/>
          <w:szCs w:val="24"/>
          <w:lang w:val="en-US"/>
        </w:rPr>
        <w:t>embossed</w:t>
      </w:r>
      <w:r w:rsidRPr="442EAC12" w:rsidR="0908ABA5">
        <w:rPr>
          <w:rFonts w:ascii="Arial Narrow" w:hAnsi="Arial Narrow" w:eastAsia="Arial Narrow" w:cs="Arial Narrow"/>
          <w:noProof w:val="0"/>
          <w:color w:val="000000" w:themeColor="text1" w:themeTint="FF" w:themeShade="FF"/>
          <w:sz w:val="24"/>
          <w:szCs w:val="24"/>
          <w:lang w:val="en-US"/>
        </w:rPr>
        <w:t xml:space="preserve"> </w:t>
      </w:r>
      <w:r w:rsidRPr="442EAC12" w:rsidR="0908ABA5">
        <w:rPr>
          <w:rFonts w:ascii="Arial Narrow" w:hAnsi="Arial Narrow" w:eastAsia="Arial Narrow" w:cs="Arial Narrow"/>
          <w:noProof w:val="0"/>
          <w:color w:val="000000" w:themeColor="text1" w:themeTint="FF" w:themeShade="FF"/>
          <w:sz w:val="24"/>
          <w:szCs w:val="24"/>
          <w:lang w:val="en-US"/>
        </w:rPr>
        <w:t>plate</w:t>
      </w:r>
      <w:r w:rsidRPr="442EAC12" w:rsidR="0908ABA5">
        <w:rPr>
          <w:rFonts w:ascii="Arial Narrow" w:hAnsi="Arial Narrow" w:eastAsia="Arial Narrow" w:cs="Arial Narrow"/>
          <w:noProof w:val="0"/>
          <w:color w:val="000000" w:themeColor="text1" w:themeTint="FF" w:themeShade="FF"/>
          <w:sz w:val="24"/>
          <w:szCs w:val="24"/>
          <w:lang w:val="en-US"/>
        </w:rPr>
        <w:t xml:space="preserve"> </w:t>
      </w:r>
      <w:r w:rsidRPr="442EAC12" w:rsidR="0908ABA5">
        <w:rPr>
          <w:rFonts w:ascii="Arial Narrow" w:hAnsi="Arial Narrow" w:eastAsia="Arial Narrow" w:cs="Arial Narrow"/>
          <w:noProof w:val="0"/>
          <w:color w:val="000000" w:themeColor="text1" w:themeTint="FF" w:themeShade="FF"/>
          <w:sz w:val="24"/>
          <w:szCs w:val="24"/>
          <w:lang w:val="en-US"/>
        </w:rPr>
        <w:t>heat</w:t>
      </w:r>
      <w:r w:rsidRPr="442EAC12" w:rsidR="0908ABA5">
        <w:rPr>
          <w:rFonts w:ascii="Arial Narrow" w:hAnsi="Arial Narrow" w:eastAsia="Arial Narrow" w:cs="Arial Narrow"/>
          <w:noProof w:val="0"/>
          <w:color w:val="000000" w:themeColor="text1" w:themeTint="FF" w:themeShade="FF"/>
          <w:sz w:val="24"/>
          <w:szCs w:val="24"/>
          <w:lang w:val="en-US"/>
        </w:rPr>
        <w:t xml:space="preserve"> </w:t>
      </w:r>
      <w:r w:rsidRPr="442EAC12" w:rsidR="0908ABA5">
        <w:rPr>
          <w:rFonts w:ascii="Arial Narrow" w:hAnsi="Arial Narrow" w:eastAsia="Arial Narrow" w:cs="Arial Narrow"/>
          <w:noProof w:val="0"/>
          <w:color w:val="000000" w:themeColor="text1" w:themeTint="FF" w:themeShade="FF"/>
          <w:sz w:val="24"/>
          <w:szCs w:val="24"/>
          <w:lang w:val="en-US"/>
        </w:rPr>
        <w:t>exchanger</w:t>
      </w:r>
      <w:r w:rsidRPr="442EAC12" w:rsidR="0908ABA5">
        <w:rPr>
          <w:rFonts w:ascii="Arial Narrow" w:hAnsi="Arial Narrow" w:eastAsia="Arial Narrow" w:cs="Arial Narrow"/>
          <w:noProof w:val="0"/>
          <w:color w:val="000000" w:themeColor="text1" w:themeTint="FF" w:themeShade="FF"/>
          <w:sz w:val="24"/>
          <w:szCs w:val="24"/>
          <w:lang w:val="en-US"/>
        </w:rPr>
        <w:t xml:space="preserve">», Energy, vol. 194, p. 116942, mar. 2020, </w:t>
      </w:r>
      <w:r w:rsidRPr="442EAC12" w:rsidR="0908ABA5">
        <w:rPr>
          <w:rFonts w:ascii="Arial Narrow" w:hAnsi="Arial Narrow" w:eastAsia="Arial Narrow" w:cs="Arial Narrow"/>
          <w:noProof w:val="0"/>
          <w:color w:val="000000" w:themeColor="text1" w:themeTint="FF" w:themeShade="FF"/>
          <w:sz w:val="24"/>
          <w:szCs w:val="24"/>
          <w:lang w:val="en-US"/>
        </w:rPr>
        <w:t>doi</w:t>
      </w:r>
      <w:r w:rsidRPr="442EAC12" w:rsidR="0908ABA5">
        <w:rPr>
          <w:rFonts w:ascii="Arial Narrow" w:hAnsi="Arial Narrow" w:eastAsia="Arial Narrow" w:cs="Arial Narrow"/>
          <w:noProof w:val="0"/>
          <w:color w:val="000000" w:themeColor="text1" w:themeTint="FF" w:themeShade="FF"/>
          <w:sz w:val="24"/>
          <w:szCs w:val="24"/>
          <w:lang w:val="en-US"/>
        </w:rPr>
        <w:t>: 10.1016/j.energy.2020.116942.</w:t>
      </w:r>
    </w:p>
    <w:p w:rsidR="0908ABA5" w:rsidP="442EAC12" w:rsidRDefault="0908ABA5" w14:paraId="4E36679A" w14:textId="09245495">
      <w:pPr>
        <w:pStyle w:val="Normal"/>
        <w:spacing w:before="240" w:beforeAutospacing="off" w:after="0" w:afterAutospacing="off"/>
        <w:ind w:left="386" w:right="0" w:hanging="386"/>
        <w:jc w:val="both"/>
      </w:pPr>
      <w:r w:rsidRPr="442EAC12" w:rsidR="0908ABA5">
        <w:rPr>
          <w:rFonts w:ascii="Arial Narrow" w:hAnsi="Arial Narrow" w:eastAsia="Arial Narrow" w:cs="Arial Narrow"/>
          <w:noProof w:val="0"/>
          <w:color w:val="000000" w:themeColor="text1" w:themeTint="FF" w:themeShade="FF"/>
          <w:sz w:val="24"/>
          <w:szCs w:val="24"/>
          <w:lang w:val="es-CO"/>
        </w:rPr>
        <w:t>[13]</w:t>
      </w:r>
      <w:r>
        <w:tab/>
      </w:r>
      <w:r w:rsidRPr="442EAC12" w:rsidR="0908ABA5">
        <w:rPr>
          <w:rFonts w:ascii="Arial Narrow" w:hAnsi="Arial Narrow" w:eastAsia="Arial Narrow" w:cs="Arial Narrow"/>
          <w:noProof w:val="0"/>
          <w:color w:val="000000" w:themeColor="text1" w:themeTint="FF" w:themeShade="FF"/>
          <w:sz w:val="24"/>
          <w:szCs w:val="24"/>
          <w:lang w:val="es-CO"/>
        </w:rPr>
        <w:t>M. Afzal y P. Sharma, «Design and computational analysis of a metal hydride hydrogen storage system with hexagonal honeycomb based heat transfer enhancements-part A», Int. J. Hydrog. Energy, vol. 46, n.o 24, pp. 13116-13130, abr. 2021, doi: 10.1016/j.ijhydene.2021.01.135.</w:t>
      </w:r>
    </w:p>
    <w:p w:rsidR="0908ABA5" w:rsidP="442EAC12" w:rsidRDefault="0908ABA5" w14:paraId="55704518" w14:textId="53EA702B">
      <w:pPr>
        <w:pStyle w:val="Normal"/>
        <w:spacing w:before="240" w:beforeAutospacing="off" w:after="0" w:afterAutospacing="off"/>
        <w:ind w:left="386" w:right="0" w:hanging="386"/>
        <w:jc w:val="both"/>
      </w:pPr>
      <w:r w:rsidRPr="442EAC12" w:rsidR="0908ABA5">
        <w:rPr>
          <w:rFonts w:ascii="Arial Narrow" w:hAnsi="Arial Narrow" w:eastAsia="Arial Narrow" w:cs="Arial Narrow"/>
          <w:noProof w:val="0"/>
          <w:color w:val="000000" w:themeColor="text1" w:themeTint="FF" w:themeShade="FF"/>
          <w:sz w:val="24"/>
          <w:szCs w:val="24"/>
          <w:lang w:val="es-CO"/>
        </w:rPr>
        <w:t>[14]</w:t>
      </w:r>
      <w:r>
        <w:tab/>
      </w:r>
      <w:r w:rsidRPr="442EAC12" w:rsidR="0908ABA5">
        <w:rPr>
          <w:rFonts w:ascii="Arial Narrow" w:hAnsi="Arial Narrow" w:eastAsia="Arial Narrow" w:cs="Arial Narrow"/>
          <w:noProof w:val="0"/>
          <w:color w:val="000000" w:themeColor="text1" w:themeTint="FF" w:themeShade="FF"/>
          <w:sz w:val="24"/>
          <w:szCs w:val="24"/>
          <w:lang w:val="es-CO"/>
        </w:rPr>
        <w:t>N. N. Raju, P. Muthukumar, P. V. Selvan, y K. Malleswararao, «Design methodology and thermal modelling of industrial scale reactor for solid state hydrogen storage», Int. J. Hydrog. Energy, vol. 44, n.o 36, pp. 20278-20292, jul. 2019, doi: 10.1016/j.ijhydene.2019.05.193.</w:t>
      </w:r>
    </w:p>
    <w:p w:rsidR="0908ABA5" w:rsidP="442EAC12" w:rsidRDefault="0908ABA5" w14:paraId="3CF6589D" w14:textId="13A75C90">
      <w:pPr>
        <w:pStyle w:val="Normal"/>
        <w:spacing w:before="240" w:beforeAutospacing="off" w:after="0" w:afterAutospacing="off"/>
        <w:ind w:left="386" w:right="0" w:hanging="386"/>
        <w:jc w:val="both"/>
      </w:pPr>
      <w:r w:rsidRPr="442EAC12" w:rsidR="0908ABA5">
        <w:rPr>
          <w:rFonts w:ascii="Arial Narrow" w:hAnsi="Arial Narrow" w:eastAsia="Arial Narrow" w:cs="Arial Narrow"/>
          <w:noProof w:val="0"/>
          <w:color w:val="000000" w:themeColor="text1" w:themeTint="FF" w:themeShade="FF"/>
          <w:sz w:val="24"/>
          <w:szCs w:val="24"/>
          <w:lang w:val="es-CO"/>
        </w:rPr>
        <w:t>[15]</w:t>
      </w:r>
      <w:r>
        <w:tab/>
      </w:r>
      <w:r w:rsidRPr="442EAC12" w:rsidR="0908ABA5">
        <w:rPr>
          <w:rFonts w:ascii="Arial Narrow" w:hAnsi="Arial Narrow" w:eastAsia="Arial Narrow" w:cs="Arial Narrow"/>
          <w:noProof w:val="0"/>
          <w:color w:val="000000" w:themeColor="text1" w:themeTint="FF" w:themeShade="FF"/>
          <w:sz w:val="24"/>
          <w:szCs w:val="24"/>
          <w:lang w:val="es-CO"/>
        </w:rPr>
        <w:t>İ. Hilali, R. Karadag, H. Bulut, y M. A. Aktacir, «A study on ideal distance between staggered metal hydride tanks in forced convection», Int. J. Hydrog. Energy, vol. 43, n.o 38, pp. 17970-17977, sep. 2018, doi: 10.1016/j.ijhydene.2018.03.051.</w:t>
      </w:r>
    </w:p>
    <w:p w:rsidR="0908ABA5" w:rsidP="442EAC12" w:rsidRDefault="0908ABA5" w14:paraId="4C5FC1DD" w14:textId="32A34AB3">
      <w:pPr>
        <w:pStyle w:val="Normal"/>
        <w:spacing w:before="240" w:beforeAutospacing="off" w:after="0" w:afterAutospacing="off"/>
        <w:ind w:left="386" w:right="0" w:hanging="386"/>
        <w:jc w:val="both"/>
      </w:pPr>
      <w:r w:rsidRPr="442EAC12" w:rsidR="0908ABA5">
        <w:rPr>
          <w:rFonts w:ascii="Arial Narrow" w:hAnsi="Arial Narrow" w:eastAsia="Arial Narrow" w:cs="Arial Narrow"/>
          <w:noProof w:val="0"/>
          <w:color w:val="000000" w:themeColor="text1" w:themeTint="FF" w:themeShade="FF"/>
          <w:sz w:val="24"/>
          <w:szCs w:val="24"/>
          <w:lang w:val="es-CO"/>
        </w:rPr>
        <w:t>[16]</w:t>
      </w:r>
      <w:r>
        <w:tab/>
      </w:r>
      <w:r w:rsidRPr="442EAC12" w:rsidR="0908ABA5">
        <w:rPr>
          <w:rFonts w:ascii="Arial Narrow" w:hAnsi="Arial Narrow" w:eastAsia="Arial Narrow" w:cs="Arial Narrow"/>
          <w:noProof w:val="0"/>
          <w:color w:val="000000" w:themeColor="text1" w:themeTint="FF" w:themeShade="FF"/>
          <w:sz w:val="24"/>
          <w:szCs w:val="24"/>
          <w:lang w:val="es-CO"/>
        </w:rPr>
        <w:t>I. Hilali, A. Akbas, V. Balak, D. Akaslan, y K. Guner, «An experimental study to validate optimum distance between metal hydride tanks with staggered arrangement for effective thermal management», Int. J. Hydrog. Energy, vol. 47, n.o 45, pp. 19732-19740, may 2022, doi: 10.1016/j.ijhydene.2022.03.201.</w:t>
      </w:r>
    </w:p>
    <w:p w:rsidR="442EAC12" w:rsidP="442EAC12" w:rsidRDefault="442EAC12" w14:paraId="3C28C2FC" w14:textId="7E975E7F">
      <w:pPr>
        <w:spacing w:before="240" w:beforeAutospacing="off" w:after="0" w:afterAutospacing="off"/>
        <w:ind w:left="386" w:right="0" w:hanging="386"/>
        <w:jc w:val="both"/>
        <w:rPr>
          <w:rFonts w:ascii="Arial Narrow" w:hAnsi="Arial Narrow" w:eastAsia="Arial Narrow" w:cs="Arial Narrow"/>
          <w:noProof w:val="0"/>
          <w:color w:val="000000" w:themeColor="text1" w:themeTint="FF" w:themeShade="FF"/>
          <w:sz w:val="24"/>
          <w:szCs w:val="24"/>
          <w:lang w:val="es-CO"/>
        </w:rPr>
      </w:pPr>
    </w:p>
    <w:p xmlns:wp14="http://schemas.microsoft.com/office/word/2010/wordml" w:rsidP="442EAC12" w14:paraId="655CC261" wp14:textId="5234C0F0">
      <w:pPr>
        <w:pStyle w:val="Heading2"/>
        <w:ind w:left="1284" w:hanging="576"/>
        <w:rPr/>
      </w:pPr>
      <w:bookmarkStart w:name="_Toc207791233" w:id="11"/>
      <w:bookmarkStart w:name="_Toc960451773" w:id="1033232158"/>
      <w:r w:rsidR="1044EAB6">
        <w:rPr/>
        <w:t>Anexos</w:t>
      </w:r>
      <w:bookmarkEnd w:id="1033232158"/>
      <w:r w:rsidR="1044EAB6">
        <w:rPr/>
        <w:t xml:space="preserve"> </w:t>
      </w:r>
      <w:bookmarkEnd w:id="11"/>
    </w:p>
    <w:p xmlns:wp14="http://schemas.microsoft.com/office/word/2010/wordml" wp14:textId="77777777" w14:paraId="3461D779">
      <w:pPr>
        <w:pStyle w:val="Normal"/>
      </w:pPr>
    </w:p>
    <w:sectPr>
      <w:headerReference w:type="even" r:id="rId2"/>
      <w:headerReference w:type="default" r:id="rId3"/>
      <w:headerReference w:type="first" r:id="rId4"/>
      <w:footerReference w:type="even" r:id="rId5"/>
      <w:footerReference w:type="default" r:id="rId6"/>
      <w:footerReference w:type="first" r:id="rId7"/>
      <w:type w:val="nextPage"/>
      <w:pgSz w:w="12240" w:h="15840" w:orient="portrait"/>
      <w:pgMar w:top="1417" w:right="1701" w:bottom="1417" w:left="1701" w:header="624" w:footer="624" w:gutter="0"/>
      <w:pgNumType w:fmt="decimal"/>
      <w:formProt w:val="false"/>
      <w:titlePg/>
      <w:textDirection w:val="lrTb"/>
      <w:docGrid w:type="default" w:linePitch="360" w:charSpace="0"/>
      <w:cols w:num="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CG" w:author="Carlos Ernesto Arrieta González" w:date="2025-11-14T18:26:10" w:id="872609407">
    <w:p xmlns:w14="http://schemas.microsoft.com/office/word/2010/wordml" xmlns:w="http://schemas.openxmlformats.org/wordprocessingml/2006/main" w:rsidR="1167A7ED" w:rsidRDefault="120F3524" w14:paraId="400D6A56" w14:textId="095AB315">
      <w:pPr>
        <w:pStyle w:val="CommentText"/>
      </w:pPr>
      <w:r>
        <w:rPr>
          <w:rStyle w:val="CommentReference"/>
        </w:rPr>
        <w:annotationRef/>
      </w:r>
      <w:r w:rsidRPr="76F57ED3" w:rsidR="7502EB88">
        <w:t>En general yo creo que a está introducción se le debe mejorar el hilo conductor. Volvemos a tener el mismo problema, con las figuras, no hay descripción en el texto de que se presenta en las figura.</w:t>
      </w:r>
    </w:p>
  </w:comment>
  <w:comment xmlns:w="http://schemas.openxmlformats.org/wordprocessingml/2006/main" w:initials="NV" w:author="Natalia Gomez Velásquez" w:date="2025-11-18T09:01:59" w:id="1053580471">
    <w:p xmlns:w14="http://schemas.microsoft.com/office/word/2010/wordml" xmlns:w="http://schemas.openxmlformats.org/wordprocessingml/2006/main" w:rsidR="3558CC7A" w:rsidRDefault="673323C6" w14:paraId="02F48C52" w14:textId="2C5282A7">
      <w:pPr>
        <w:pStyle w:val="CommentText"/>
      </w:pPr>
      <w:r>
        <w:rPr>
          <w:rStyle w:val="CommentReference"/>
        </w:rPr>
        <w:annotationRef/>
      </w:r>
      <w:r w:rsidRPr="6B504EFA" w:rsidR="6F7A8B0D">
        <w:t>Yo cambiaria el desarrollar por Desarrollo de un sistema modular .......</w:t>
      </w:r>
    </w:p>
  </w:comment>
  <w:comment xmlns:w="http://schemas.openxmlformats.org/wordprocessingml/2006/main" w:initials="NV" w:author="Natalia Gomez Velásquez" w:date="2025-11-18T09:13:21" w:id="328909897">
    <w:p xmlns:w14="http://schemas.microsoft.com/office/word/2010/wordml" xmlns:w="http://schemas.openxmlformats.org/wordprocessingml/2006/main" w:rsidR="4E813B51" w:rsidRDefault="784EB436" w14:paraId="68213AB0" w14:textId="29005940">
      <w:pPr>
        <w:pStyle w:val="CommentText"/>
      </w:pPr>
      <w:r>
        <w:rPr>
          <w:rStyle w:val="CommentReference"/>
        </w:rPr>
        <w:annotationRef/>
      </w:r>
      <w:r w:rsidRPr="7DDF5773" w:rsidR="1EA9EC17">
        <w:t xml:space="preserve">Recuerda que las figuras si no son propias se deben citar </w:t>
      </w:r>
    </w:p>
  </w:comment>
  <w:comment xmlns:w="http://schemas.openxmlformats.org/wordprocessingml/2006/main" w:initials="CG" w:author="Carlos Ernesto Arrieta González" w:date="2025-11-20T11:39:54" w:id="1193409820">
    <w:p xmlns:w14="http://schemas.microsoft.com/office/word/2010/wordml" xmlns:w="http://schemas.openxmlformats.org/wordprocessingml/2006/main" w:rsidR="5CD69925" w:rsidRDefault="73A0CEBF" w14:paraId="3DF5DA71" w14:textId="0C0FA647">
      <w:pPr>
        <w:pStyle w:val="CommentText"/>
      </w:pPr>
      <w:r>
        <w:rPr>
          <w:rStyle w:val="CommentReference"/>
        </w:rPr>
        <w:annotationRef/>
      </w:r>
      <w:r w:rsidRPr="11D750DE" w:rsidR="3D0C8822">
        <w:t>de discos? se debería inclui una imagen para ilustrar esto</w:t>
      </w:r>
    </w:p>
  </w:comment>
  <w:comment xmlns:w="http://schemas.openxmlformats.org/wordprocessingml/2006/main" w:initials="CG" w:author="Carlos Ernesto Arrieta González" w:date="2025-11-20T18:23:04" w:id="1938331787">
    <w:p xmlns:w14="http://schemas.microsoft.com/office/word/2010/wordml" xmlns:w="http://schemas.openxmlformats.org/wordprocessingml/2006/main" w:rsidR="3D424AD6" w:rsidRDefault="4CA9E8DD" w14:paraId="681E0B43" w14:textId="07CE17ED">
      <w:pPr>
        <w:pStyle w:val="CommentText"/>
      </w:pPr>
      <w:r>
        <w:rPr>
          <w:rStyle w:val="CommentReference"/>
        </w:rPr>
        <w:annotationRef/>
      </w:r>
      <w:r w:rsidRPr="39C028D8" w:rsidR="1B1F8E96">
        <w:t>Falta el diseño conceptual</w:t>
      </w:r>
    </w:p>
  </w:comment>
</w:comments>
</file>

<file path=word/commentsExtended.xml><?xml version="1.0" encoding="utf-8"?>
<w15:commentsEx xmlns:mc="http://schemas.openxmlformats.org/markup-compatibility/2006" xmlns:w15="http://schemas.microsoft.com/office/word/2012/wordml" mc:Ignorable="w15">
  <w15:commentEx w15:done="1" w15:paraId="400D6A56"/>
  <w15:commentEx w15:done="1" w15:paraId="02F48C52"/>
  <w15:commentEx w15:done="1" w15:paraId="68213AB0"/>
  <w15:commentEx w15:done="0" w15:paraId="3DF5DA71"/>
  <w15:commentEx w15:done="0" w15:paraId="681E0B4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F382F32" w16cex:dateUtc="2025-11-14T23:26:10.215Z"/>
  <w16cex:commentExtensible w16cex:durableId="14A0BFF4" w16cex:dateUtc="2025-11-18T14:01:59.788Z"/>
  <w16cex:commentExtensible w16cex:durableId="2C4791FF" w16cex:dateUtc="2025-11-18T14:13:21.463Z"/>
  <w16cex:commentExtensible w16cex:durableId="429217CA" w16cex:dateUtc="2025-11-20T16:39:54.976Z"/>
  <w16cex:commentExtensible w16cex:durableId="3A3E8B8C" w16cex:dateUtc="2025-11-20T23:23:04.15Z"/>
</w16cex:commentsExtensible>
</file>

<file path=word/commentsIds.xml><?xml version="1.0" encoding="utf-8"?>
<w16cid:commentsIds xmlns:mc="http://schemas.openxmlformats.org/markup-compatibility/2006" xmlns:w16cid="http://schemas.microsoft.com/office/word/2016/wordml/cid" mc:Ignorable="w16cid">
  <w16cid:commentId w16cid:paraId="400D6A56" w16cid:durableId="5F382F32"/>
  <w16cid:commentId w16cid:paraId="02F48C52" w16cid:durableId="14A0BFF4"/>
  <w16cid:commentId w16cid:paraId="68213AB0" w16cid:durableId="2C4791FF"/>
  <w16cid:commentId w16cid:paraId="3DF5DA71" w16cid:durableId="429217CA"/>
  <w16cid:commentId w16cid:paraId="681E0B43" w16cid:durableId="3A3E8B8C"/>
</w16cid:commentsId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Narrow">
    <w:charset w:val="01"/>
    <w:family w:val="swiss"/>
    <w:pitch w:val="variable"/>
  </w:font>
  <w:font w:name="Calibri Light">
    <w:charset w:val="01"/>
    <w:family w:val="swiss"/>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0FB78278"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1346038A" wp14:textId="77777777">
    <w:pPr>
      <w:pStyle w:val="Footer"/>
      <w:rPr>
        <w:i/>
        <w:i/>
        <w:iCs/>
      </w:rPr>
    </w:pPr>
    <w:r>
      <w:rPr>
        <w:i/>
        <w:iCs/>
        <w:color w:val="808080" w:themeColor="background1" w:themeShade="80"/>
        <w:sz w:val="20"/>
        <w:szCs w:val="18"/>
      </w:rPr>
      <w:t>ANEXOS TÉCNICOS OE2 Sistema modular de almacenamiento</w:t>
    </w:r>
    <w:r>
      <w:rPr>
        <w:i/>
        <w:iCs/>
      </w:rPr>
      <w:tab/>
    </w:r>
    <w:r>
      <w:rPr>
        <w:i/>
        <w:iCs/>
      </w:rPr>
      <w:fldChar w:fldCharType="begin"/>
    </w:r>
    <w:r>
      <w:rPr>
        <w:i/>
        <w:iCs/>
      </w:rPr>
      <w:instrText xml:space="preserve"> PAGE </w:instrText>
    </w:r>
    <w:r>
      <w:rPr>
        <w:i/>
        <w:iCs/>
      </w:rPr>
      <w:fldChar w:fldCharType="separate"/>
    </w:r>
    <w:r>
      <w:rPr>
        <w:i/>
        <w:iCs/>
      </w:rPr>
      <w:t>2</w:t>
    </w:r>
    <w:r>
      <w:rPr>
        <w:i/>
        <w:iC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7352BCC7" wp14:textId="77777777">
    <w:pPr>
      <w:pStyle w:val="Footer"/>
      <w:rPr/>
    </w:pPr>
    <w:r>
      <w:rPr/>
      <w:drawing>
        <wp:anchor xmlns:wp14="http://schemas.microsoft.com/office/word/2010/wordprocessingDrawing" distT="0" distB="0" distL="0" distR="0" simplePos="0" relativeHeight="6" behindDoc="1" locked="0" layoutInCell="1" allowOverlap="1" wp14:anchorId="74BA0CA2" wp14:editId="7777777">
          <wp:simplePos x="0" y="0"/>
          <wp:positionH relativeFrom="column">
            <wp:posOffset>3656965</wp:posOffset>
          </wp:positionH>
          <wp:positionV relativeFrom="paragraph">
            <wp:posOffset>-225425</wp:posOffset>
          </wp:positionV>
          <wp:extent cx="1137920" cy="539750"/>
          <wp:effectExtent l="0" t="0" r="0" b="0"/>
          <wp:wrapNone/>
          <wp:docPr id="9" name="Imagen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0" descr=""/>
                  <pic:cNvPicPr>
                    <a:picLocks noChangeAspect="1" noChangeArrowheads="1"/>
                  </pic:cNvPicPr>
                </pic:nvPicPr>
                <pic:blipFill>
                  <a:blip r:embed="rId1"/>
                  <a:srcRect l="0" t="19341" r="0" b="17426"/>
                  <a:stretch>
                    <a:fillRect/>
                  </a:stretch>
                </pic:blipFill>
                <pic:spPr bwMode="auto">
                  <a:xfrm>
                    <a:off x="0" y="0"/>
                    <a:ext cx="1137920" cy="539750"/>
                  </a:xfrm>
                  <a:prstGeom prst="rect">
                    <a:avLst/>
                  </a:prstGeom>
                  <a:noFill/>
                </pic:spPr>
              </pic:pic>
            </a:graphicData>
          </a:graphic>
        </wp:anchor>
      </w:drawing>
    </w:r>
    <w:r>
      <w:rPr/>
      <w:drawing>
        <wp:anchor xmlns:wp14="http://schemas.microsoft.com/office/word/2010/wordprocessingDrawing" distT="0" distB="0" distL="0" distR="0" simplePos="0" relativeHeight="7" behindDoc="1" locked="0" layoutInCell="1" allowOverlap="1" wp14:anchorId="1A59BEF1" wp14:editId="7777777">
          <wp:simplePos x="0" y="0"/>
          <wp:positionH relativeFrom="column">
            <wp:posOffset>687070</wp:posOffset>
          </wp:positionH>
          <wp:positionV relativeFrom="paragraph">
            <wp:posOffset>-225425</wp:posOffset>
          </wp:positionV>
          <wp:extent cx="2664460" cy="539750"/>
          <wp:effectExtent l="0" t="0" r="0" b="0"/>
          <wp:wrapNone/>
          <wp:docPr id="10" name="Imagen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1" descr=""/>
                  <pic:cNvPicPr>
                    <a:picLocks noChangeAspect="1" noChangeArrowheads="1"/>
                  </pic:cNvPicPr>
                </pic:nvPicPr>
                <pic:blipFill>
                  <a:blip r:embed="rId2"/>
                  <a:srcRect l="5308" t="19744" r="8029" b="18997"/>
                  <a:stretch>
                    <a:fillRect/>
                  </a:stretch>
                </pic:blipFill>
                <pic:spPr bwMode="auto">
                  <a:xfrm>
                    <a:off x="0" y="0"/>
                    <a:ext cx="2664460" cy="53975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CF2D8B6"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37BDE6F9" wp14:textId="77777777">
    <w:pPr>
      <w:pStyle w:val="Header"/>
      <w:rPr/>
    </w:pPr>
    <w:r>
      <w:rPr/>
      <w:drawing>
        <wp:anchor xmlns:wp14="http://schemas.microsoft.com/office/word/2010/wordprocessingDrawing" distT="0" distB="0" distL="0" distR="0" simplePos="0" relativeHeight="8" behindDoc="1" locked="0" layoutInCell="0" allowOverlap="1" wp14:anchorId="5B7BFD58" wp14:editId="7777777">
          <wp:simplePos x="0" y="0"/>
          <wp:positionH relativeFrom="page">
            <wp:posOffset>4170045</wp:posOffset>
          </wp:positionH>
          <wp:positionV relativeFrom="paragraph">
            <wp:posOffset>5715</wp:posOffset>
          </wp:positionV>
          <wp:extent cx="1178560" cy="395605"/>
          <wp:effectExtent l="0" t="0" r="0" b="0"/>
          <wp:wrapNone/>
          <wp:docPr id="1" name="Imagen 1111987573" descr="Universidad Pontificia Bolivariana | U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111987573" descr="Universidad Pontificia Bolivariana | UPB"/>
                  <pic:cNvPicPr>
                    <a:picLocks noChangeAspect="1" noChangeArrowheads="1"/>
                  </pic:cNvPicPr>
                </pic:nvPicPr>
                <pic:blipFill>
                  <a:blip r:embed="rId1"/>
                  <a:stretch>
                    <a:fillRect/>
                  </a:stretch>
                </pic:blipFill>
                <pic:spPr bwMode="auto">
                  <a:xfrm>
                    <a:off x="0" y="0"/>
                    <a:ext cx="1178560" cy="395605"/>
                  </a:xfrm>
                  <a:prstGeom prst="rect">
                    <a:avLst/>
                  </a:prstGeom>
                  <a:noFill/>
                </pic:spPr>
              </pic:pic>
            </a:graphicData>
          </a:graphic>
        </wp:anchor>
      </w:drawing>
    </w:r>
    <w:r>
      <w:rPr/>
      <w:drawing>
        <wp:anchor xmlns:wp14="http://schemas.microsoft.com/office/word/2010/wordprocessingDrawing" distT="0" distB="0" distL="0" distR="0" simplePos="0" relativeHeight="9" behindDoc="1" locked="0" layoutInCell="1" allowOverlap="1" wp14:anchorId="02FC76A0" wp14:editId="7777777">
          <wp:simplePos x="0" y="0"/>
          <wp:positionH relativeFrom="column">
            <wp:posOffset>1375410</wp:posOffset>
          </wp:positionH>
          <wp:positionV relativeFrom="paragraph">
            <wp:posOffset>6350</wp:posOffset>
          </wp:positionV>
          <wp:extent cx="1575435" cy="395605"/>
          <wp:effectExtent l="0" t="0" r="0" b="0"/>
          <wp:wrapNone/>
          <wp:docPr id="2" name="Imagen 1685780194" descr="Banco de recursos multi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685780194" descr="Banco de recursos multimedia"/>
                  <pic:cNvPicPr>
                    <a:picLocks noChangeAspect="1" noChangeArrowheads="1"/>
                  </pic:cNvPicPr>
                </pic:nvPicPr>
                <pic:blipFill>
                  <a:blip r:embed="rId2"/>
                  <a:stretch>
                    <a:fillRect/>
                  </a:stretch>
                </pic:blipFill>
                <pic:spPr bwMode="auto">
                  <a:xfrm>
                    <a:off x="0" y="0"/>
                    <a:ext cx="1575435" cy="395605"/>
                  </a:xfrm>
                  <a:prstGeom prst="rect">
                    <a:avLst/>
                  </a:prstGeom>
                  <a:noFill/>
                </pic:spPr>
              </pic:pic>
            </a:graphicData>
          </a:graphic>
        </wp:anchor>
      </w:drawing>
    </w:r>
    <w:r>
      <w:rPr/>
      <w:drawing>
        <wp:anchor xmlns:wp14="http://schemas.microsoft.com/office/word/2010/wordprocessingDrawing" distT="0" distB="0" distL="0" distR="0" simplePos="0" relativeHeight="10" behindDoc="1" locked="0" layoutInCell="1" allowOverlap="1" wp14:anchorId="00723D93" wp14:editId="7777777">
          <wp:simplePos x="0" y="0"/>
          <wp:positionH relativeFrom="column">
            <wp:posOffset>-271145</wp:posOffset>
          </wp:positionH>
          <wp:positionV relativeFrom="paragraph">
            <wp:posOffset>-26035</wp:posOffset>
          </wp:positionV>
          <wp:extent cx="1506855" cy="467995"/>
          <wp:effectExtent l="0" t="0" r="0" b="0"/>
          <wp:wrapNone/>
          <wp:docPr id="3" name="Imagen 2050203691" descr="Universidad de Medell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050203691" descr="Universidad de Medellín"/>
                  <pic:cNvPicPr>
                    <a:picLocks noChangeAspect="1" noChangeArrowheads="1"/>
                  </pic:cNvPicPr>
                </pic:nvPicPr>
                <pic:blipFill>
                  <a:blip r:embed="rId3"/>
                  <a:stretch>
                    <a:fillRect/>
                  </a:stretch>
                </pic:blipFill>
                <pic:spPr bwMode="auto">
                  <a:xfrm>
                    <a:off x="0" y="0"/>
                    <a:ext cx="1506855" cy="467995"/>
                  </a:xfrm>
                  <a:prstGeom prst="rect">
                    <a:avLst/>
                  </a:prstGeom>
                  <a:noFill/>
                </pic:spPr>
              </pic:pic>
            </a:graphicData>
          </a:graphic>
        </wp:anchor>
      </w:drawing>
    </w:r>
    <w:r>
      <w:rPr/>
      <w:drawing>
        <wp:anchor xmlns:wp14="http://schemas.microsoft.com/office/word/2010/wordprocessingDrawing" distT="0" distB="0" distL="0" distR="0" simplePos="0" relativeHeight="11" behindDoc="1" locked="0" layoutInCell="1" allowOverlap="1" wp14:anchorId="5F710873" wp14:editId="7777777">
          <wp:simplePos x="0" y="0"/>
          <wp:positionH relativeFrom="column">
            <wp:posOffset>4406265</wp:posOffset>
          </wp:positionH>
          <wp:positionV relativeFrom="paragraph">
            <wp:posOffset>-66675</wp:posOffset>
          </wp:positionV>
          <wp:extent cx="1590040" cy="539750"/>
          <wp:effectExtent l="0" t="0" r="0" b="0"/>
          <wp:wrapNone/>
          <wp:docPr id="4"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9" descr=""/>
                  <pic:cNvPicPr>
                    <a:picLocks noChangeAspect="1" noChangeArrowheads="1"/>
                  </pic:cNvPicPr>
                </pic:nvPicPr>
                <pic:blipFill>
                  <a:blip r:embed="rId4"/>
                  <a:srcRect l="0" t="33971" r="0" b="32066"/>
                  <a:stretch>
                    <a:fillRect/>
                  </a:stretch>
                </pic:blipFill>
                <pic:spPr bwMode="auto">
                  <a:xfrm>
                    <a:off x="0" y="0"/>
                    <a:ext cx="1590040" cy="53975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030C9974" wp14:textId="77777777">
    <w:pPr>
      <w:pStyle w:val="Header"/>
      <w:rPr/>
    </w:pPr>
    <w:r>
      <w:rPr/>
      <w:drawing>
        <wp:anchor xmlns:wp14="http://schemas.microsoft.com/office/word/2010/wordprocessingDrawing" distT="0" distB="0" distL="0" distR="0" simplePos="0" relativeHeight="2" behindDoc="1" locked="0" layoutInCell="0" allowOverlap="1" wp14:anchorId="37854D1E" wp14:editId="7777777">
          <wp:simplePos x="0" y="0"/>
          <wp:positionH relativeFrom="page">
            <wp:posOffset>4110990</wp:posOffset>
          </wp:positionH>
          <wp:positionV relativeFrom="paragraph">
            <wp:posOffset>28575</wp:posOffset>
          </wp:positionV>
          <wp:extent cx="1178560" cy="395605"/>
          <wp:effectExtent l="0" t="0" r="0" b="0"/>
          <wp:wrapNone/>
          <wp:docPr id="5" name="Imagen 122521684" descr="Universidad Pontificia Bolivariana | U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22521684" descr="Universidad Pontificia Bolivariana | UPB"/>
                  <pic:cNvPicPr>
                    <a:picLocks noChangeAspect="1" noChangeArrowheads="1"/>
                  </pic:cNvPicPr>
                </pic:nvPicPr>
                <pic:blipFill>
                  <a:blip r:embed="rId1"/>
                  <a:stretch>
                    <a:fillRect/>
                  </a:stretch>
                </pic:blipFill>
                <pic:spPr bwMode="auto">
                  <a:xfrm>
                    <a:off x="0" y="0"/>
                    <a:ext cx="1178560" cy="395605"/>
                  </a:xfrm>
                  <a:prstGeom prst="rect">
                    <a:avLst/>
                  </a:prstGeom>
                  <a:noFill/>
                </pic:spPr>
              </pic:pic>
            </a:graphicData>
          </a:graphic>
        </wp:anchor>
      </w:drawing>
    </w:r>
    <w:r>
      <w:rPr/>
      <w:drawing>
        <wp:anchor xmlns:wp14="http://schemas.microsoft.com/office/word/2010/wordprocessingDrawing" distT="0" distB="0" distL="0" distR="0" simplePos="0" relativeHeight="3" behindDoc="1" locked="0" layoutInCell="1" allowOverlap="1" wp14:anchorId="3EA558F3" wp14:editId="7777777">
          <wp:simplePos x="0" y="0"/>
          <wp:positionH relativeFrom="column">
            <wp:posOffset>1316355</wp:posOffset>
          </wp:positionH>
          <wp:positionV relativeFrom="paragraph">
            <wp:posOffset>29210</wp:posOffset>
          </wp:positionV>
          <wp:extent cx="1575435" cy="395605"/>
          <wp:effectExtent l="0" t="0" r="0" b="0"/>
          <wp:wrapNone/>
          <wp:docPr id="6" name="Imagen 1564418990" descr="Banco de recursos multi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564418990" descr="Banco de recursos multimedia"/>
                  <pic:cNvPicPr>
                    <a:picLocks noChangeAspect="1" noChangeArrowheads="1"/>
                  </pic:cNvPicPr>
                </pic:nvPicPr>
                <pic:blipFill>
                  <a:blip r:embed="rId2"/>
                  <a:stretch>
                    <a:fillRect/>
                  </a:stretch>
                </pic:blipFill>
                <pic:spPr bwMode="auto">
                  <a:xfrm>
                    <a:off x="0" y="0"/>
                    <a:ext cx="1575435" cy="395605"/>
                  </a:xfrm>
                  <a:prstGeom prst="rect">
                    <a:avLst/>
                  </a:prstGeom>
                  <a:noFill/>
                </pic:spPr>
              </pic:pic>
            </a:graphicData>
          </a:graphic>
        </wp:anchor>
      </w:drawing>
    </w:r>
    <w:r>
      <w:rPr/>
      <w:drawing>
        <wp:anchor xmlns:wp14="http://schemas.microsoft.com/office/word/2010/wordprocessingDrawing" distT="0" distB="0" distL="0" distR="0" simplePos="0" relativeHeight="4" behindDoc="1" locked="0" layoutInCell="1" allowOverlap="1" wp14:anchorId="5F3ED82D" wp14:editId="7777777">
          <wp:simplePos x="0" y="0"/>
          <wp:positionH relativeFrom="column">
            <wp:posOffset>-330200</wp:posOffset>
          </wp:positionH>
          <wp:positionV relativeFrom="paragraph">
            <wp:posOffset>-3175</wp:posOffset>
          </wp:positionV>
          <wp:extent cx="1506855" cy="467995"/>
          <wp:effectExtent l="0" t="0" r="0" b="0"/>
          <wp:wrapNone/>
          <wp:docPr id="7" name="Imagen 515284303" descr="Universidad de Medell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515284303" descr="Universidad de Medellín"/>
                  <pic:cNvPicPr>
                    <a:picLocks noChangeAspect="1" noChangeArrowheads="1"/>
                  </pic:cNvPicPr>
                </pic:nvPicPr>
                <pic:blipFill>
                  <a:blip r:embed="rId3"/>
                  <a:stretch>
                    <a:fillRect/>
                  </a:stretch>
                </pic:blipFill>
                <pic:spPr bwMode="auto">
                  <a:xfrm>
                    <a:off x="0" y="0"/>
                    <a:ext cx="1506855" cy="467995"/>
                  </a:xfrm>
                  <a:prstGeom prst="rect">
                    <a:avLst/>
                  </a:prstGeom>
                  <a:noFill/>
                </pic:spPr>
              </pic:pic>
            </a:graphicData>
          </a:graphic>
        </wp:anchor>
      </w:drawing>
    </w:r>
    <w:r>
      <w:rPr/>
      <w:drawing>
        <wp:anchor xmlns:wp14="http://schemas.microsoft.com/office/word/2010/wordprocessingDrawing" distT="0" distB="0" distL="0" distR="0" simplePos="0" relativeHeight="5" behindDoc="1" locked="0" layoutInCell="1" allowOverlap="1" wp14:anchorId="18200CC9" wp14:editId="7777777">
          <wp:simplePos x="0" y="0"/>
          <wp:positionH relativeFrom="column">
            <wp:posOffset>4347210</wp:posOffset>
          </wp:positionH>
          <wp:positionV relativeFrom="paragraph">
            <wp:posOffset>-43815</wp:posOffset>
          </wp:positionV>
          <wp:extent cx="1590040" cy="539750"/>
          <wp:effectExtent l="0" t="0" r="0" b="0"/>
          <wp:wrapNone/>
          <wp:docPr id="8"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2" descr=""/>
                  <pic:cNvPicPr>
                    <a:picLocks noChangeAspect="1" noChangeArrowheads="1"/>
                  </pic:cNvPicPr>
                </pic:nvPicPr>
                <pic:blipFill>
                  <a:blip r:embed="rId4"/>
                  <a:srcRect l="0" t="33971" r="0" b="32066"/>
                  <a:stretch>
                    <a:fillRect/>
                  </a:stretch>
                </pic:blipFill>
                <pic:spPr bwMode="auto">
                  <a:xfrm>
                    <a:off x="0" y="0"/>
                    <a:ext cx="1590040" cy="53975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nsid w:val="3d98be3f"/>
  </w:abstractNum>
  <w:num w:numId="1">
    <w:abstractNumId w:val="1"/>
  </w:num>
</w:numbering>
</file>

<file path=word/people.xml><?xml version="1.0" encoding="utf-8"?>
<w15:people xmlns:mc="http://schemas.openxmlformats.org/markup-compatibility/2006" xmlns:w15="http://schemas.microsoft.com/office/word/2012/wordml" mc:Ignorable="w15">
  <w15:person w15:author="Carlos Ernesto Arrieta González">
    <w15:presenceInfo w15:providerId="AD" w15:userId="S::carrieta@udemedellin.edu.co::9e8b577d-ca04-4fa9-ab23-a31aa25480c4"/>
  </w15:person>
  <w15:person w15:author="Carlos Ernesto Arrieta González">
    <w15:presenceInfo w15:providerId="AD" w15:userId="S::carrieta@udemedellin.edu.co::9e8b577d-ca04-4fa9-ab23-a31aa25480c4"/>
  </w15:person>
  <w15:person w15:author="Natalia Gomez Velásquez">
    <w15:presenceInfo w15:providerId="AD" w15:userId="S::nagomez@udemedellin.edu.co::e126193d-ff9c-4d09-9252-c0f221a9c246"/>
  </w15:person>
</w15:people>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10"/>
  <w:trackRevisions w:val="false"/>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12F8D84"/>
    <w:rsid w:val="00FBF208"/>
    <w:rsid w:val="012F8D84"/>
    <w:rsid w:val="014DD01F"/>
    <w:rsid w:val="015C5A5F"/>
    <w:rsid w:val="01DFF737"/>
    <w:rsid w:val="01EC3BB0"/>
    <w:rsid w:val="01EE26BF"/>
    <w:rsid w:val="022B7C88"/>
    <w:rsid w:val="02310A91"/>
    <w:rsid w:val="0243A62A"/>
    <w:rsid w:val="029429E7"/>
    <w:rsid w:val="0303AF6B"/>
    <w:rsid w:val="0342D908"/>
    <w:rsid w:val="0388F29D"/>
    <w:rsid w:val="03DC0193"/>
    <w:rsid w:val="043444B0"/>
    <w:rsid w:val="045710C7"/>
    <w:rsid w:val="04AEDA64"/>
    <w:rsid w:val="04B04098"/>
    <w:rsid w:val="04EC041F"/>
    <w:rsid w:val="05236E92"/>
    <w:rsid w:val="0562725C"/>
    <w:rsid w:val="05BE7A6E"/>
    <w:rsid w:val="05C65875"/>
    <w:rsid w:val="06299BA6"/>
    <w:rsid w:val="06454857"/>
    <w:rsid w:val="0685F027"/>
    <w:rsid w:val="069E2CB4"/>
    <w:rsid w:val="06BA8135"/>
    <w:rsid w:val="06E34B3F"/>
    <w:rsid w:val="06E3904D"/>
    <w:rsid w:val="0715F135"/>
    <w:rsid w:val="078EF18C"/>
    <w:rsid w:val="07C870D3"/>
    <w:rsid w:val="07CB8B4F"/>
    <w:rsid w:val="07F8D52F"/>
    <w:rsid w:val="0827D275"/>
    <w:rsid w:val="0908ABA5"/>
    <w:rsid w:val="099935C7"/>
    <w:rsid w:val="09B34472"/>
    <w:rsid w:val="0A2ADA60"/>
    <w:rsid w:val="0A674970"/>
    <w:rsid w:val="0AD3D1B3"/>
    <w:rsid w:val="0B16FE77"/>
    <w:rsid w:val="0B35E939"/>
    <w:rsid w:val="0C268934"/>
    <w:rsid w:val="0D32B1B4"/>
    <w:rsid w:val="0D435AC1"/>
    <w:rsid w:val="0DA0D951"/>
    <w:rsid w:val="0DD91E06"/>
    <w:rsid w:val="0DE44F39"/>
    <w:rsid w:val="0DEE4A4B"/>
    <w:rsid w:val="0E118380"/>
    <w:rsid w:val="0E635FDA"/>
    <w:rsid w:val="0E847F73"/>
    <w:rsid w:val="0F15FC97"/>
    <w:rsid w:val="1044EAB6"/>
    <w:rsid w:val="1059FF1E"/>
    <w:rsid w:val="10EF543F"/>
    <w:rsid w:val="115926AF"/>
    <w:rsid w:val="1191C333"/>
    <w:rsid w:val="11B2B308"/>
    <w:rsid w:val="1237209D"/>
    <w:rsid w:val="126E1BBE"/>
    <w:rsid w:val="128D638D"/>
    <w:rsid w:val="12F46CC4"/>
    <w:rsid w:val="12F570AC"/>
    <w:rsid w:val="1334AC0C"/>
    <w:rsid w:val="1370E6BB"/>
    <w:rsid w:val="1373DB47"/>
    <w:rsid w:val="13D3EB67"/>
    <w:rsid w:val="14117075"/>
    <w:rsid w:val="1436D121"/>
    <w:rsid w:val="1465378F"/>
    <w:rsid w:val="151FC2BF"/>
    <w:rsid w:val="1557408D"/>
    <w:rsid w:val="155C4207"/>
    <w:rsid w:val="155C4207"/>
    <w:rsid w:val="15C22C49"/>
    <w:rsid w:val="15DC2EC8"/>
    <w:rsid w:val="15DC2EC8"/>
    <w:rsid w:val="162FB367"/>
    <w:rsid w:val="16796EAA"/>
    <w:rsid w:val="16875B74"/>
    <w:rsid w:val="16875B74"/>
    <w:rsid w:val="169361BB"/>
    <w:rsid w:val="16E8F7CE"/>
    <w:rsid w:val="177EA78C"/>
    <w:rsid w:val="17817383"/>
    <w:rsid w:val="17817383"/>
    <w:rsid w:val="1811C11B"/>
    <w:rsid w:val="1834080E"/>
    <w:rsid w:val="184A3721"/>
    <w:rsid w:val="1871C0F8"/>
    <w:rsid w:val="18F222F9"/>
    <w:rsid w:val="1957F4EF"/>
    <w:rsid w:val="19A83931"/>
    <w:rsid w:val="19D77E07"/>
    <w:rsid w:val="1A12953D"/>
    <w:rsid w:val="1A37BD39"/>
    <w:rsid w:val="1A4DBE2F"/>
    <w:rsid w:val="1AD7232C"/>
    <w:rsid w:val="1AD74E35"/>
    <w:rsid w:val="1B18E66B"/>
    <w:rsid w:val="1B860E06"/>
    <w:rsid w:val="1BD189D1"/>
    <w:rsid w:val="1CE919D5"/>
    <w:rsid w:val="1D06DB46"/>
    <w:rsid w:val="1D682611"/>
    <w:rsid w:val="1D9E9806"/>
    <w:rsid w:val="1E5C7190"/>
    <w:rsid w:val="1E5D2B38"/>
    <w:rsid w:val="1E9A51AB"/>
    <w:rsid w:val="1ED3268F"/>
    <w:rsid w:val="1EF7BBD2"/>
    <w:rsid w:val="1F689A3F"/>
    <w:rsid w:val="1F74776E"/>
    <w:rsid w:val="1F91E47F"/>
    <w:rsid w:val="2053D851"/>
    <w:rsid w:val="205DC29E"/>
    <w:rsid w:val="20BC1A1F"/>
    <w:rsid w:val="20CD0109"/>
    <w:rsid w:val="215C4564"/>
    <w:rsid w:val="216AB1F4"/>
    <w:rsid w:val="218DE785"/>
    <w:rsid w:val="21F95C3E"/>
    <w:rsid w:val="221393A8"/>
    <w:rsid w:val="2239C29B"/>
    <w:rsid w:val="2239C29B"/>
    <w:rsid w:val="224BD8F9"/>
    <w:rsid w:val="224BD8F9"/>
    <w:rsid w:val="2288FCA2"/>
    <w:rsid w:val="229A5C3D"/>
    <w:rsid w:val="229A5C3D"/>
    <w:rsid w:val="22B4BE33"/>
    <w:rsid w:val="235F565C"/>
    <w:rsid w:val="23C91083"/>
    <w:rsid w:val="24010221"/>
    <w:rsid w:val="24D5254B"/>
    <w:rsid w:val="24EB743E"/>
    <w:rsid w:val="25060A7A"/>
    <w:rsid w:val="259F0787"/>
    <w:rsid w:val="25A639B5"/>
    <w:rsid w:val="26ACC544"/>
    <w:rsid w:val="26FEBC8B"/>
    <w:rsid w:val="27133228"/>
    <w:rsid w:val="276766BA"/>
    <w:rsid w:val="280ADBF8"/>
    <w:rsid w:val="283D1F8F"/>
    <w:rsid w:val="291FA21A"/>
    <w:rsid w:val="29326E3E"/>
    <w:rsid w:val="293B8DC1"/>
    <w:rsid w:val="297AEFE6"/>
    <w:rsid w:val="29AC4DBF"/>
    <w:rsid w:val="29FD451A"/>
    <w:rsid w:val="2A029448"/>
    <w:rsid w:val="2A2AB195"/>
    <w:rsid w:val="2A4C8667"/>
    <w:rsid w:val="2A74C6FD"/>
    <w:rsid w:val="2AACCC23"/>
    <w:rsid w:val="2C622462"/>
    <w:rsid w:val="2C65AF60"/>
    <w:rsid w:val="2CE22C53"/>
    <w:rsid w:val="2CEE0ECC"/>
    <w:rsid w:val="2D0157BD"/>
    <w:rsid w:val="2D8B67A5"/>
    <w:rsid w:val="2E3805EF"/>
    <w:rsid w:val="2EBE1550"/>
    <w:rsid w:val="2EC3FB59"/>
    <w:rsid w:val="2FB98945"/>
    <w:rsid w:val="2FD7C125"/>
    <w:rsid w:val="30097451"/>
    <w:rsid w:val="30B1E735"/>
    <w:rsid w:val="30F20305"/>
    <w:rsid w:val="3131D669"/>
    <w:rsid w:val="3186276B"/>
    <w:rsid w:val="31978337"/>
    <w:rsid w:val="319D139F"/>
    <w:rsid w:val="3243DFFB"/>
    <w:rsid w:val="330F2F29"/>
    <w:rsid w:val="33117F13"/>
    <w:rsid w:val="33B78231"/>
    <w:rsid w:val="33BB9B0C"/>
    <w:rsid w:val="33BB9B0C"/>
    <w:rsid w:val="33D59E86"/>
    <w:rsid w:val="33EED7D9"/>
    <w:rsid w:val="341639B4"/>
    <w:rsid w:val="345409A5"/>
    <w:rsid w:val="34BB4726"/>
    <w:rsid w:val="34EF45FF"/>
    <w:rsid w:val="358E43D0"/>
    <w:rsid w:val="35DC5263"/>
    <w:rsid w:val="36907596"/>
    <w:rsid w:val="3690FE08"/>
    <w:rsid w:val="36BB81D1"/>
    <w:rsid w:val="36BEB79C"/>
    <w:rsid w:val="36C54E30"/>
    <w:rsid w:val="37AAC77E"/>
    <w:rsid w:val="37F47B7A"/>
    <w:rsid w:val="384A14E1"/>
    <w:rsid w:val="3892A998"/>
    <w:rsid w:val="39268BDA"/>
    <w:rsid w:val="39268BDA"/>
    <w:rsid w:val="39D95643"/>
    <w:rsid w:val="39E6DD04"/>
    <w:rsid w:val="3A8DFB6F"/>
    <w:rsid w:val="3A8FEDCC"/>
    <w:rsid w:val="3A9833A4"/>
    <w:rsid w:val="3AED1F6D"/>
    <w:rsid w:val="3B44FE4D"/>
    <w:rsid w:val="3BC55B3F"/>
    <w:rsid w:val="3BC55B3F"/>
    <w:rsid w:val="3BDB4490"/>
    <w:rsid w:val="3BE716B4"/>
    <w:rsid w:val="3C02B456"/>
    <w:rsid w:val="3C3DE7C1"/>
    <w:rsid w:val="3C427AC4"/>
    <w:rsid w:val="3C46F943"/>
    <w:rsid w:val="3C70348F"/>
    <w:rsid w:val="3DC989E5"/>
    <w:rsid w:val="3DCE6798"/>
    <w:rsid w:val="3DD4DAD5"/>
    <w:rsid w:val="3DDC3146"/>
    <w:rsid w:val="3E76879A"/>
    <w:rsid w:val="3E76879A"/>
    <w:rsid w:val="3E962409"/>
    <w:rsid w:val="3EAA0B23"/>
    <w:rsid w:val="3EF62963"/>
    <w:rsid w:val="3F088B1C"/>
    <w:rsid w:val="3F75B00E"/>
    <w:rsid w:val="3F846EC1"/>
    <w:rsid w:val="3FA51B25"/>
    <w:rsid w:val="40199366"/>
    <w:rsid w:val="40199366"/>
    <w:rsid w:val="4090DF66"/>
    <w:rsid w:val="4090DF66"/>
    <w:rsid w:val="409CA0F2"/>
    <w:rsid w:val="40BA7D01"/>
    <w:rsid w:val="40BE6D7E"/>
    <w:rsid w:val="410392A1"/>
    <w:rsid w:val="410392A1"/>
    <w:rsid w:val="411586D3"/>
    <w:rsid w:val="41426418"/>
    <w:rsid w:val="4166E11C"/>
    <w:rsid w:val="4166E11C"/>
    <w:rsid w:val="416FC968"/>
    <w:rsid w:val="422CD74B"/>
    <w:rsid w:val="423902A4"/>
    <w:rsid w:val="4273F20C"/>
    <w:rsid w:val="428F5193"/>
    <w:rsid w:val="4290F57C"/>
    <w:rsid w:val="42CB593B"/>
    <w:rsid w:val="4311FF45"/>
    <w:rsid w:val="43294D2D"/>
    <w:rsid w:val="43616E84"/>
    <w:rsid w:val="4378C119"/>
    <w:rsid w:val="43C52735"/>
    <w:rsid w:val="43D72FB6"/>
    <w:rsid w:val="43F102B3"/>
    <w:rsid w:val="442EAC12"/>
    <w:rsid w:val="44D47134"/>
    <w:rsid w:val="44F41E43"/>
    <w:rsid w:val="45A8E547"/>
    <w:rsid w:val="45C66AFC"/>
    <w:rsid w:val="45CAA835"/>
    <w:rsid w:val="45E927B6"/>
    <w:rsid w:val="45EAF685"/>
    <w:rsid w:val="465521C6"/>
    <w:rsid w:val="466A01E3"/>
    <w:rsid w:val="46782286"/>
    <w:rsid w:val="46C2A026"/>
    <w:rsid w:val="46DBA95F"/>
    <w:rsid w:val="47037590"/>
    <w:rsid w:val="474FAB8F"/>
    <w:rsid w:val="4801BDC5"/>
    <w:rsid w:val="4812C056"/>
    <w:rsid w:val="487405A0"/>
    <w:rsid w:val="4906BC1D"/>
    <w:rsid w:val="490972FF"/>
    <w:rsid w:val="495D1A85"/>
    <w:rsid w:val="498B9C3E"/>
    <w:rsid w:val="49997E41"/>
    <w:rsid w:val="4999B881"/>
    <w:rsid w:val="49D3F77C"/>
    <w:rsid w:val="49FA548A"/>
    <w:rsid w:val="4B291E1C"/>
    <w:rsid w:val="4B858170"/>
    <w:rsid w:val="4C78AAA5"/>
    <w:rsid w:val="4D09DA8E"/>
    <w:rsid w:val="4D0E4D2B"/>
    <w:rsid w:val="4D132C76"/>
    <w:rsid w:val="4D25B049"/>
    <w:rsid w:val="4D27674F"/>
    <w:rsid w:val="4D4DCDAC"/>
    <w:rsid w:val="4DC0DC24"/>
    <w:rsid w:val="4E5D4CEC"/>
    <w:rsid w:val="4E83FAC6"/>
    <w:rsid w:val="4EB8EBA9"/>
    <w:rsid w:val="4ED2EF1A"/>
    <w:rsid w:val="4F5D7313"/>
    <w:rsid w:val="4FA1E5F6"/>
    <w:rsid w:val="4FEA6453"/>
    <w:rsid w:val="50006C69"/>
    <w:rsid w:val="5004F74D"/>
    <w:rsid w:val="50518B80"/>
    <w:rsid w:val="508C5998"/>
    <w:rsid w:val="50F815E4"/>
    <w:rsid w:val="5112DF79"/>
    <w:rsid w:val="513B2B9B"/>
    <w:rsid w:val="5167209C"/>
    <w:rsid w:val="5167209C"/>
    <w:rsid w:val="516FDB47"/>
    <w:rsid w:val="517083E4"/>
    <w:rsid w:val="5210C0EE"/>
    <w:rsid w:val="52DFE30D"/>
    <w:rsid w:val="537E6371"/>
    <w:rsid w:val="5417060B"/>
    <w:rsid w:val="54351F46"/>
    <w:rsid w:val="543699F7"/>
    <w:rsid w:val="547897E6"/>
    <w:rsid w:val="54D61F40"/>
    <w:rsid w:val="54DB6A92"/>
    <w:rsid w:val="54E5F67F"/>
    <w:rsid w:val="55349624"/>
    <w:rsid w:val="554F2E97"/>
    <w:rsid w:val="558C4C10"/>
    <w:rsid w:val="55E0A67F"/>
    <w:rsid w:val="55E30C9B"/>
    <w:rsid w:val="564F5577"/>
    <w:rsid w:val="565013DB"/>
    <w:rsid w:val="56C7824D"/>
    <w:rsid w:val="56E8B7EF"/>
    <w:rsid w:val="57689CC6"/>
    <w:rsid w:val="5778B401"/>
    <w:rsid w:val="5804A523"/>
    <w:rsid w:val="5890A954"/>
    <w:rsid w:val="58A831C4"/>
    <w:rsid w:val="58CE6EBC"/>
    <w:rsid w:val="58CE6EBC"/>
    <w:rsid w:val="5932B113"/>
    <w:rsid w:val="59BF08A7"/>
    <w:rsid w:val="5A6FD958"/>
    <w:rsid w:val="5AAA1717"/>
    <w:rsid w:val="5ABE78DC"/>
    <w:rsid w:val="5AC7E5B7"/>
    <w:rsid w:val="5AD079D9"/>
    <w:rsid w:val="5B16B8E1"/>
    <w:rsid w:val="5B47A7D2"/>
    <w:rsid w:val="5C4076B5"/>
    <w:rsid w:val="5C4CBBBE"/>
    <w:rsid w:val="5CF18020"/>
    <w:rsid w:val="5CF87009"/>
    <w:rsid w:val="5D539AB7"/>
    <w:rsid w:val="5E7B4581"/>
    <w:rsid w:val="5EC1611A"/>
    <w:rsid w:val="5F3FE72A"/>
    <w:rsid w:val="5F616227"/>
    <w:rsid w:val="5F816313"/>
    <w:rsid w:val="5FE616FB"/>
    <w:rsid w:val="5FF15E37"/>
    <w:rsid w:val="600DC3AC"/>
    <w:rsid w:val="6071FF71"/>
    <w:rsid w:val="609AD801"/>
    <w:rsid w:val="615AFC55"/>
    <w:rsid w:val="615E9FE4"/>
    <w:rsid w:val="616112EC"/>
    <w:rsid w:val="616E4972"/>
    <w:rsid w:val="618EDD4C"/>
    <w:rsid w:val="61DE4237"/>
    <w:rsid w:val="623D8B5B"/>
    <w:rsid w:val="62460B71"/>
    <w:rsid w:val="63B169E5"/>
    <w:rsid w:val="63DEF18B"/>
    <w:rsid w:val="64DB3427"/>
    <w:rsid w:val="6554B557"/>
    <w:rsid w:val="6566F212"/>
    <w:rsid w:val="662FEE3F"/>
    <w:rsid w:val="66361C5E"/>
    <w:rsid w:val="66B58376"/>
    <w:rsid w:val="670FFFBA"/>
    <w:rsid w:val="671D3831"/>
    <w:rsid w:val="6728F283"/>
    <w:rsid w:val="677DD0CD"/>
    <w:rsid w:val="678DB0D8"/>
    <w:rsid w:val="68588D75"/>
    <w:rsid w:val="6874B1AD"/>
    <w:rsid w:val="68F6DFF3"/>
    <w:rsid w:val="6954131C"/>
    <w:rsid w:val="69BC392F"/>
    <w:rsid w:val="69C58396"/>
    <w:rsid w:val="6A252389"/>
    <w:rsid w:val="6A9985DC"/>
    <w:rsid w:val="6B3DA45A"/>
    <w:rsid w:val="6B7A14CA"/>
    <w:rsid w:val="6B97D94C"/>
    <w:rsid w:val="6BA0710F"/>
    <w:rsid w:val="6BCAD809"/>
    <w:rsid w:val="6C486AB5"/>
    <w:rsid w:val="6C787E04"/>
    <w:rsid w:val="6D7A93F9"/>
    <w:rsid w:val="6ECD777D"/>
    <w:rsid w:val="6ED27F71"/>
    <w:rsid w:val="6EE2FFB2"/>
    <w:rsid w:val="6EF4CE5D"/>
    <w:rsid w:val="6F13E3EC"/>
    <w:rsid w:val="6F50DF5F"/>
    <w:rsid w:val="6F64EEBD"/>
    <w:rsid w:val="6F64EEBD"/>
    <w:rsid w:val="6FCA8029"/>
    <w:rsid w:val="6FCA8029"/>
    <w:rsid w:val="6FED0DD4"/>
    <w:rsid w:val="7036FE09"/>
    <w:rsid w:val="708D5819"/>
    <w:rsid w:val="70C58C1D"/>
    <w:rsid w:val="70EF1FC6"/>
    <w:rsid w:val="71271840"/>
    <w:rsid w:val="7151914C"/>
    <w:rsid w:val="71A10A05"/>
    <w:rsid w:val="71A10A05"/>
    <w:rsid w:val="71A7F618"/>
    <w:rsid w:val="71EF697B"/>
    <w:rsid w:val="7236844E"/>
    <w:rsid w:val="72C4B2A0"/>
    <w:rsid w:val="72FDB3C5"/>
    <w:rsid w:val="73229A75"/>
    <w:rsid w:val="732AC34B"/>
    <w:rsid w:val="73CADB4A"/>
    <w:rsid w:val="73EF7216"/>
    <w:rsid w:val="7427A31C"/>
    <w:rsid w:val="74929134"/>
    <w:rsid w:val="74AEFA54"/>
    <w:rsid w:val="7526041C"/>
    <w:rsid w:val="75A38171"/>
    <w:rsid w:val="75D7986E"/>
    <w:rsid w:val="75E6DBF3"/>
    <w:rsid w:val="763B5D24"/>
    <w:rsid w:val="76E72018"/>
    <w:rsid w:val="77140B76"/>
    <w:rsid w:val="77415D4A"/>
    <w:rsid w:val="77D72F94"/>
    <w:rsid w:val="78343D01"/>
    <w:rsid w:val="79195EA9"/>
    <w:rsid w:val="7985185E"/>
    <w:rsid w:val="79BE5C87"/>
    <w:rsid w:val="79BF826E"/>
    <w:rsid w:val="7A2FF343"/>
    <w:rsid w:val="7A56B076"/>
    <w:rsid w:val="7A59C5B2"/>
    <w:rsid w:val="7A9C545B"/>
    <w:rsid w:val="7B82152A"/>
    <w:rsid w:val="7B840C7F"/>
    <w:rsid w:val="7BA3325F"/>
    <w:rsid w:val="7BD69137"/>
    <w:rsid w:val="7BD8D2B8"/>
    <w:rsid w:val="7BE585C0"/>
    <w:rsid w:val="7C6B0EC3"/>
    <w:rsid w:val="7C751C36"/>
    <w:rsid w:val="7C84C6EA"/>
    <w:rsid w:val="7CD68DDF"/>
    <w:rsid w:val="7CE32CCF"/>
    <w:rsid w:val="7DC8C5B3"/>
    <w:rsid w:val="7DD5F099"/>
    <w:rsid w:val="7DDAD572"/>
    <w:rsid w:val="7E3760A3"/>
    <w:rsid w:val="7E4798A2"/>
    <w:rsid w:val="7F5BCEE0"/>
    <w:rsid w:val="7FBF6081"/>
    <w:rsid w:val="7FC82F37"/>
  </w:rsids>
  <w:themeFontLang w:val="es-CO" w:eastAsia="" w:bidi=""/>
  <w14:docId w14:val="0FABA920"/>
  <w15:docId w15:val="{CB120C37-DFFE-4C77-96A7-2FEBD15DEF85}"/>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 w:asciiTheme="minorHAnsi" w:hAnsiTheme="minorHAnsi" w:eastAsiaTheme="minorHAnsi" w:cstheme="minorBidi"/>
        <w:sz w:val="22"/>
        <w:szCs w:val="22"/>
        <w:lang w:val="es-CO"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6515b"/>
    <w:pPr>
      <w:widowControl/>
      <w:bidi w:val="0"/>
      <w:spacing w:before="0" w:after="160" w:line="240" w:lineRule="auto"/>
      <w:jc w:val="both"/>
    </w:pPr>
    <w:rPr>
      <w:rFonts w:ascii="Arial Narrow" w:hAnsi="Arial Narrow" w:eastAsia="Calibri" w:cs="" w:eastAsiaTheme="minorHAnsi" w:cstheme="minorBidi"/>
      <w:color w:val="auto"/>
      <w:kern w:val="0"/>
      <w:sz w:val="24"/>
      <w:szCs w:val="22"/>
      <w:lang w:val="es-CO" w:eastAsia="en-US" w:bidi="ar-SA"/>
    </w:rPr>
  </w:style>
  <w:style w:type="paragraph" w:styleId="Heading1">
    <w:name w:val="heading 1"/>
    <w:basedOn w:val="Normal"/>
    <w:next w:val="Normal"/>
    <w:link w:val="Ttulo1Car"/>
    <w:uiPriority w:val="9"/>
    <w:qFormat/>
    <w:rsid w:val="00d33e32"/>
    <w:pPr>
      <w:keepNext w:val="true"/>
      <w:keepLines/>
      <w:numPr>
        <w:ilvl w:val="0"/>
        <w:numId w:val="1"/>
      </w:numPr>
      <w:spacing w:before="240" w:after="0"/>
      <w:outlineLvl w:val="0"/>
    </w:pPr>
    <w:rPr>
      <w:rFonts w:eastAsia="" w:cs="" w:eastAsiaTheme="majorEastAsia" w:cstheme="majorBidi"/>
      <w:b/>
      <w:sz w:val="32"/>
      <w:szCs w:val="32"/>
    </w:rPr>
  </w:style>
  <w:style w:type="paragraph" w:styleId="Heading2">
    <w:name w:val="heading 2"/>
    <w:basedOn w:val="Normal"/>
    <w:next w:val="Normal"/>
    <w:link w:val="Ttulo2Car"/>
    <w:uiPriority w:val="9"/>
    <w:unhideWhenUsed/>
    <w:qFormat/>
    <w:rsid w:val="00e95a6c"/>
    <w:pPr>
      <w:keepNext w:val="true"/>
      <w:keepLines/>
      <w:numPr>
        <w:ilvl w:val="1"/>
        <w:numId w:val="1"/>
      </w:numPr>
      <w:spacing w:before="40" w:after="0"/>
      <w:ind w:left="1284"/>
      <w:outlineLvl w:val="1"/>
    </w:pPr>
    <w:rPr>
      <w:rFonts w:eastAsia="" w:cs="" w:eastAsiaTheme="majorEastAsia" w:cstheme="majorBidi"/>
      <w:b/>
      <w:szCs w:val="26"/>
    </w:rPr>
  </w:style>
  <w:style w:type="paragraph" w:styleId="Heading3">
    <w:name w:val="heading 3"/>
    <w:basedOn w:val="Normal"/>
    <w:next w:val="Normal"/>
    <w:link w:val="Ttulo3Car"/>
    <w:uiPriority w:val="9"/>
    <w:semiHidden/>
    <w:unhideWhenUsed/>
    <w:qFormat/>
    <w:rsid w:val="00d33e32"/>
    <w:pPr>
      <w:keepNext w:val="true"/>
      <w:keepLines/>
      <w:numPr>
        <w:ilvl w:val="2"/>
        <w:numId w:val="1"/>
      </w:numPr>
      <w:spacing w:before="40" w:after="0"/>
      <w:outlineLvl w:val="2"/>
    </w:pPr>
    <w:rPr>
      <w:rFonts w:ascii="Calibri Light" w:hAnsi="Calibri Light" w:eastAsia="" w:cs="" w:asciiTheme="majorHAnsi" w:hAnsiTheme="majorHAnsi" w:eastAsiaTheme="majorEastAsia" w:cstheme="majorBidi"/>
      <w:color w:val="1F3763" w:themeColor="accent1" w:themeShade="7f"/>
      <w:szCs w:val="24"/>
    </w:rPr>
  </w:style>
  <w:style w:type="paragraph" w:styleId="Heading4">
    <w:name w:val="heading 4"/>
    <w:basedOn w:val="Normal"/>
    <w:next w:val="Normal"/>
    <w:link w:val="Ttulo4Car"/>
    <w:uiPriority w:val="9"/>
    <w:semiHidden/>
    <w:unhideWhenUsed/>
    <w:qFormat/>
    <w:rsid w:val="00d33e32"/>
    <w:pPr>
      <w:keepNext w:val="true"/>
      <w:keepLines/>
      <w:numPr>
        <w:ilvl w:val="3"/>
        <w:numId w:val="1"/>
      </w:numPr>
      <w:spacing w:before="40" w:after="0"/>
      <w:outlineLvl w:val="3"/>
    </w:pPr>
    <w:rPr>
      <w:rFonts w:ascii="Calibri Light" w:hAnsi="Calibri Light" w:eastAsia="" w:cs="" w:asciiTheme="majorHAnsi" w:hAnsiTheme="majorHAnsi" w:eastAsiaTheme="majorEastAsia" w:cstheme="majorBidi"/>
      <w:i/>
      <w:iCs/>
      <w:color w:val="2F5496" w:themeColor="accent1" w:themeShade="bf"/>
    </w:rPr>
  </w:style>
  <w:style w:type="paragraph" w:styleId="Heading5">
    <w:name w:val="heading 5"/>
    <w:basedOn w:val="Normal"/>
    <w:next w:val="Normal"/>
    <w:link w:val="Ttulo5Car"/>
    <w:uiPriority w:val="9"/>
    <w:semiHidden/>
    <w:unhideWhenUsed/>
    <w:qFormat/>
    <w:rsid w:val="00d33e32"/>
    <w:pPr>
      <w:keepNext w:val="true"/>
      <w:keepLines/>
      <w:numPr>
        <w:ilvl w:val="4"/>
        <w:numId w:val="1"/>
      </w:numPr>
      <w:spacing w:before="40" w:after="0"/>
      <w:outlineLvl w:val="4"/>
    </w:pPr>
    <w:rPr>
      <w:rFonts w:ascii="Calibri Light" w:hAnsi="Calibri Light" w:eastAsia="" w:cs="" w:asciiTheme="majorHAnsi" w:hAnsiTheme="majorHAnsi" w:eastAsiaTheme="majorEastAsia" w:cstheme="majorBidi"/>
      <w:color w:val="2F5496" w:themeColor="accent1" w:themeShade="bf"/>
    </w:rPr>
  </w:style>
  <w:style w:type="paragraph" w:styleId="Heading6">
    <w:name w:val="heading 6"/>
    <w:basedOn w:val="Normal"/>
    <w:next w:val="Normal"/>
    <w:link w:val="Ttulo6Car"/>
    <w:uiPriority w:val="9"/>
    <w:semiHidden/>
    <w:unhideWhenUsed/>
    <w:qFormat/>
    <w:rsid w:val="00d33e32"/>
    <w:pPr>
      <w:keepNext w:val="true"/>
      <w:keepLines/>
      <w:numPr>
        <w:ilvl w:val="5"/>
        <w:numId w:val="1"/>
      </w:numPr>
      <w:spacing w:before="40" w:after="0"/>
      <w:outlineLvl w:val="5"/>
    </w:pPr>
    <w:rPr>
      <w:rFonts w:ascii="Calibri Light" w:hAnsi="Calibri Light" w:eastAsia="" w:cs="" w:asciiTheme="majorHAnsi" w:hAnsiTheme="majorHAnsi" w:eastAsiaTheme="majorEastAsia" w:cstheme="majorBidi"/>
      <w:color w:val="1F3763" w:themeColor="accent1" w:themeShade="7f"/>
    </w:rPr>
  </w:style>
  <w:style w:type="paragraph" w:styleId="Heading7">
    <w:name w:val="heading 7"/>
    <w:basedOn w:val="Normal"/>
    <w:next w:val="Normal"/>
    <w:link w:val="Ttulo7Car"/>
    <w:uiPriority w:val="9"/>
    <w:semiHidden/>
    <w:unhideWhenUsed/>
    <w:qFormat/>
    <w:rsid w:val="00d33e32"/>
    <w:pPr>
      <w:keepNext w:val="true"/>
      <w:keepLines/>
      <w:numPr>
        <w:ilvl w:val="6"/>
        <w:numId w:val="1"/>
      </w:numPr>
      <w:spacing w:before="40" w:after="0"/>
      <w:outlineLvl w:val="6"/>
    </w:pPr>
    <w:rPr>
      <w:rFonts w:ascii="Calibri Light" w:hAnsi="Calibri Light" w:eastAsia="" w:cs="" w:asciiTheme="majorHAnsi" w:hAnsiTheme="majorHAnsi" w:eastAsiaTheme="majorEastAsia" w:cstheme="majorBidi"/>
      <w:i/>
      <w:iCs/>
      <w:color w:val="1F3763" w:themeColor="accent1" w:themeShade="7f"/>
    </w:rPr>
  </w:style>
  <w:style w:type="paragraph" w:styleId="Heading8">
    <w:name w:val="heading 8"/>
    <w:basedOn w:val="Normal"/>
    <w:next w:val="Normal"/>
    <w:link w:val="Ttulo8Car"/>
    <w:uiPriority w:val="9"/>
    <w:semiHidden/>
    <w:unhideWhenUsed/>
    <w:qFormat/>
    <w:rsid w:val="00d33e32"/>
    <w:pPr>
      <w:keepNext w:val="true"/>
      <w:keepLines/>
      <w:numPr>
        <w:ilvl w:val="7"/>
        <w:numId w:val="1"/>
      </w:numPr>
      <w:spacing w:before="40" w:after="0"/>
      <w:outlineLvl w:val="7"/>
    </w:pPr>
    <w:rPr>
      <w:rFonts w:ascii="Calibri Light" w:hAnsi="Calibri Light" w:eastAsia="" w:c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Ttulo9Car"/>
    <w:uiPriority w:val="9"/>
    <w:semiHidden/>
    <w:unhideWhenUsed/>
    <w:qFormat/>
    <w:rsid w:val="00d33e32"/>
    <w:pPr>
      <w:keepNext w:val="true"/>
      <w:keepLines/>
      <w:numPr>
        <w:ilvl w:val="8"/>
        <w:numId w:val="1"/>
      </w:numPr>
      <w:spacing w:before="40" w:after="0"/>
      <w:outlineLvl w:val="8"/>
    </w:pPr>
    <w:rPr>
      <w:rFonts w:ascii="Calibri Light" w:hAnsi="Calibri Light" w:eastAsia="" w:c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a6515b"/>
    <w:rPr>
      <w:rFonts w:ascii="Arial Narrow" w:hAnsi="Arial Narrow"/>
      <w:sz w:val="24"/>
    </w:rPr>
  </w:style>
  <w:style w:type="character" w:styleId="PiedepginaCar" w:customStyle="1">
    <w:name w:val="Pie de página Car"/>
    <w:basedOn w:val="DefaultParagraphFont"/>
    <w:uiPriority w:val="99"/>
    <w:qFormat/>
    <w:rsid w:val="00a6515b"/>
    <w:rPr>
      <w:rFonts w:ascii="Arial Narrow" w:hAnsi="Arial Narrow"/>
      <w:sz w:val="24"/>
    </w:rPr>
  </w:style>
  <w:style w:type="character" w:styleId="Ttulo1Car" w:customStyle="1">
    <w:name w:val="Título 1 Car"/>
    <w:basedOn w:val="DefaultParagraphFont"/>
    <w:uiPriority w:val="9"/>
    <w:qFormat/>
    <w:rsid w:val="00d33e32"/>
    <w:rPr>
      <w:rFonts w:ascii="Arial Narrow" w:hAnsi="Arial Narrow" w:eastAsia="" w:cs="" w:eastAsiaTheme="majorEastAsia" w:cstheme="majorBidi"/>
      <w:b/>
      <w:sz w:val="32"/>
      <w:szCs w:val="32"/>
    </w:rPr>
  </w:style>
  <w:style w:type="character" w:styleId="Ttulo2Car" w:customStyle="1">
    <w:name w:val="Título 2 Car"/>
    <w:basedOn w:val="DefaultParagraphFont"/>
    <w:uiPriority w:val="9"/>
    <w:qFormat/>
    <w:rsid w:val="00e95a6c"/>
    <w:rPr>
      <w:rFonts w:ascii="Arial Narrow" w:hAnsi="Arial Narrow" w:eastAsia="" w:cs="" w:eastAsiaTheme="majorEastAsia" w:cstheme="majorBidi"/>
      <w:b/>
      <w:sz w:val="24"/>
      <w:szCs w:val="26"/>
    </w:rPr>
  </w:style>
  <w:style w:type="character" w:styleId="Ttulo3Car" w:customStyle="1">
    <w:name w:val="Título 3 Car"/>
    <w:basedOn w:val="DefaultParagraphFont"/>
    <w:uiPriority w:val="9"/>
    <w:semiHidden/>
    <w:qFormat/>
    <w:rsid w:val="00d33e32"/>
    <w:rPr>
      <w:rFonts w:ascii="Calibri Light" w:hAnsi="Calibri Light" w:eastAsia="" w:cs="" w:asciiTheme="majorHAnsi" w:hAnsiTheme="majorHAnsi" w:eastAsiaTheme="majorEastAsia" w:cstheme="majorBidi"/>
      <w:color w:val="1F3763" w:themeColor="accent1" w:themeShade="7f"/>
      <w:sz w:val="24"/>
      <w:szCs w:val="24"/>
    </w:rPr>
  </w:style>
  <w:style w:type="character" w:styleId="Ttulo4Car" w:customStyle="1">
    <w:name w:val="Título 4 Car"/>
    <w:basedOn w:val="DefaultParagraphFont"/>
    <w:uiPriority w:val="9"/>
    <w:semiHidden/>
    <w:qFormat/>
    <w:rsid w:val="00d33e32"/>
    <w:rPr>
      <w:rFonts w:ascii="Calibri Light" w:hAnsi="Calibri Light" w:eastAsia="" w:cs="" w:asciiTheme="majorHAnsi" w:hAnsiTheme="majorHAnsi" w:eastAsiaTheme="majorEastAsia" w:cstheme="majorBidi"/>
      <w:i/>
      <w:iCs/>
      <w:color w:val="2F5496" w:themeColor="accent1" w:themeShade="bf"/>
      <w:sz w:val="24"/>
    </w:rPr>
  </w:style>
  <w:style w:type="character" w:styleId="Ttulo5Car" w:customStyle="1">
    <w:name w:val="Título 5 Car"/>
    <w:basedOn w:val="DefaultParagraphFont"/>
    <w:uiPriority w:val="9"/>
    <w:semiHidden/>
    <w:qFormat/>
    <w:rsid w:val="00d33e32"/>
    <w:rPr>
      <w:rFonts w:ascii="Calibri Light" w:hAnsi="Calibri Light" w:eastAsia="" w:cs="" w:asciiTheme="majorHAnsi" w:hAnsiTheme="majorHAnsi" w:eastAsiaTheme="majorEastAsia" w:cstheme="majorBidi"/>
      <w:color w:val="2F5496" w:themeColor="accent1" w:themeShade="bf"/>
      <w:sz w:val="24"/>
    </w:rPr>
  </w:style>
  <w:style w:type="character" w:styleId="Ttulo6Car" w:customStyle="1">
    <w:name w:val="Título 6 Car"/>
    <w:basedOn w:val="DefaultParagraphFont"/>
    <w:uiPriority w:val="9"/>
    <w:semiHidden/>
    <w:qFormat/>
    <w:rsid w:val="00d33e32"/>
    <w:rPr>
      <w:rFonts w:ascii="Calibri Light" w:hAnsi="Calibri Light" w:eastAsia="" w:cs="" w:asciiTheme="majorHAnsi" w:hAnsiTheme="majorHAnsi" w:eastAsiaTheme="majorEastAsia" w:cstheme="majorBidi"/>
      <w:color w:val="1F3763" w:themeColor="accent1" w:themeShade="7f"/>
      <w:sz w:val="24"/>
    </w:rPr>
  </w:style>
  <w:style w:type="character" w:styleId="Ttulo7Car" w:customStyle="1">
    <w:name w:val="Título 7 Car"/>
    <w:basedOn w:val="DefaultParagraphFont"/>
    <w:uiPriority w:val="9"/>
    <w:semiHidden/>
    <w:qFormat/>
    <w:rsid w:val="00d33e32"/>
    <w:rPr>
      <w:rFonts w:ascii="Calibri Light" w:hAnsi="Calibri Light" w:eastAsia="" w:cs="" w:asciiTheme="majorHAnsi" w:hAnsiTheme="majorHAnsi" w:eastAsiaTheme="majorEastAsia" w:cstheme="majorBidi"/>
      <w:i/>
      <w:iCs/>
      <w:color w:val="1F3763" w:themeColor="accent1" w:themeShade="7f"/>
      <w:sz w:val="24"/>
    </w:rPr>
  </w:style>
  <w:style w:type="character" w:styleId="Ttulo8Car" w:customStyle="1">
    <w:name w:val="Título 8 Car"/>
    <w:basedOn w:val="DefaultParagraphFont"/>
    <w:uiPriority w:val="9"/>
    <w:semiHidden/>
    <w:qFormat/>
    <w:rsid w:val="00d33e32"/>
    <w:rPr>
      <w:rFonts w:ascii="Calibri Light" w:hAnsi="Calibri Light" w:eastAsia="" w:cs="" w:asciiTheme="majorHAnsi" w:hAnsiTheme="majorHAnsi" w:eastAsiaTheme="majorEastAsia" w:cstheme="majorBidi"/>
      <w:color w:val="272727" w:themeColor="text1" w:themeTint="d8"/>
      <w:sz w:val="21"/>
      <w:szCs w:val="21"/>
    </w:rPr>
  </w:style>
  <w:style w:type="character" w:styleId="Ttulo9Car" w:customStyle="1">
    <w:name w:val="Título 9 Car"/>
    <w:basedOn w:val="DefaultParagraphFont"/>
    <w:uiPriority w:val="9"/>
    <w:semiHidden/>
    <w:qFormat/>
    <w:rsid w:val="00d33e32"/>
    <w:rPr>
      <w:rFonts w:ascii="Calibri Light" w:hAnsi="Calibri Light" w:eastAsia="" w:cs="" w:asciiTheme="majorHAnsi" w:hAnsiTheme="majorHAnsi" w:eastAsiaTheme="majorEastAsia" w:cstheme="majorBidi"/>
      <w:i/>
      <w:iCs/>
      <w:color w:val="272727" w:themeColor="text1" w:themeTint="d8"/>
      <w:sz w:val="21"/>
      <w:szCs w:val="21"/>
    </w:rPr>
  </w:style>
  <w:style w:type="character" w:styleId="Hyperlink">
    <w:name w:val="Hyperlink"/>
    <w:basedOn w:val="DefaultParagraphFont"/>
    <w:uiPriority w:val="99"/>
    <w:unhideWhenUsed/>
    <w:rsid w:val="007d2a3a"/>
    <w:rPr>
      <w:color w:val="0563C1" w:themeColor="hyperlink"/>
      <w:u w:val="single"/>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EncabezadoCar"/>
    <w:uiPriority w:val="99"/>
    <w:unhideWhenUsed/>
    <w:rsid w:val="00a6515b"/>
    <w:pPr>
      <w:tabs>
        <w:tab w:val="clear" w:pos="708"/>
        <w:tab w:val="center" w:leader="none" w:pos="4419"/>
        <w:tab w:val="right" w:leader="none" w:pos="8838"/>
      </w:tabs>
      <w:spacing w:before="0" w:after="0"/>
    </w:pPr>
    <w:rPr/>
  </w:style>
  <w:style w:type="paragraph" w:styleId="Footer">
    <w:name w:val="footer"/>
    <w:basedOn w:val="Normal"/>
    <w:link w:val="PiedepginaCar"/>
    <w:uiPriority w:val="99"/>
    <w:unhideWhenUsed/>
    <w:rsid w:val="00a6515b"/>
    <w:pPr>
      <w:tabs>
        <w:tab w:val="clear" w:pos="708"/>
        <w:tab w:val="center" w:leader="none" w:pos="4419"/>
        <w:tab w:val="right" w:leader="none" w:pos="8838"/>
      </w:tabs>
      <w:spacing w:before="0" w:after="0"/>
    </w:pPr>
    <w:rPr/>
  </w:style>
  <w:style w:type="paragraph" w:styleId="Default" w:customStyle="1">
    <w:name w:val="Default"/>
    <w:qFormat/>
    <w:rsid w:val="00492ee2"/>
    <w:pPr>
      <w:widowControl/>
      <w:bidi w:val="0"/>
      <w:spacing w:before="0" w:after="0" w:line="240" w:lineRule="auto"/>
      <w:jc w:val="left"/>
    </w:pPr>
    <w:rPr>
      <w:rFonts w:ascii="Times New Roman" w:hAnsi="Times New Roman" w:eastAsia="Calibri" w:cs="Times New Roman"/>
      <w:color w:val="000000"/>
      <w:kern w:val="0"/>
      <w:sz w:val="24"/>
      <w:szCs w:val="24"/>
      <w:lang w:val="es-CO" w:eastAsia="en-US" w:bidi="ar-SA"/>
    </w:rPr>
  </w:style>
  <w:style w:type="paragraph" w:styleId="IndexHeading">
    <w:name w:val="index heading"/>
    <w:basedOn w:val="Ttulo"/>
    <w:pPr/>
    <w:rPr/>
  </w:style>
  <w:style w:type="paragraph" w:styleId="TOCHeading">
    <w:name w:val="TOC Heading"/>
    <w:basedOn w:val="Heading1"/>
    <w:next w:val="Normal"/>
    <w:uiPriority w:val="39"/>
    <w:unhideWhenUsed/>
    <w:qFormat/>
    <w:rsid w:val="007d2a3a"/>
    <w:pPr>
      <w:numPr>
        <w:ilvl w:val="0"/>
        <w:numId w:val="0"/>
      </w:numPr>
      <w:spacing w:line="259" w:lineRule="auto"/>
      <w:jc w:val="left"/>
      <w:outlineLvl w:val="9"/>
    </w:pPr>
    <w:rPr>
      <w:rFonts w:ascii="Calibri Light" w:hAnsi="Calibri Light" w:asciiTheme="majorHAnsi" w:hAnsiTheme="majorHAnsi"/>
      <w:b w:val="false"/>
      <w:color w:val="2F5496" w:themeColor="accent1" w:themeShade="bf"/>
      <w:lang w:eastAsia="es-CO"/>
    </w:rPr>
  </w:style>
  <w:style w:type="paragraph" w:styleId="TOC1">
    <w:name w:val="toc 1"/>
    <w:basedOn w:val="Normal"/>
    <w:next w:val="Normal"/>
    <w:autoRedefine/>
    <w:uiPriority w:val="39"/>
    <w:unhideWhenUsed/>
    <w:rsid w:val="007d2a3a"/>
    <w:pPr>
      <w:spacing w:before="0" w:after="100"/>
    </w:pPr>
    <w:rPr/>
  </w:style>
  <w:style w:type="paragraph" w:styleId="TOC2">
    <w:name w:val="toc 2"/>
    <w:basedOn w:val="Normal"/>
    <w:next w:val="Normal"/>
    <w:autoRedefine/>
    <w:uiPriority w:val="39"/>
    <w:unhideWhenUsed/>
    <w:rsid w:val="002f04eb"/>
    <w:pPr>
      <w:spacing w:before="0" w:after="100"/>
      <w:ind w:left="240"/>
    </w:pPr>
    <w:rPr/>
  </w:style>
  <w:style w:type="paragraph" w:styleId="TOC3">
    <w:name w:val="toc 3"/>
    <w:basedOn w:val="ndice"/>
    <w:pPr/>
    <w:rPr/>
  </w:style>
  <w:style w:type="paragraph" w:styleId="TOC4">
    <w:name w:val="toc 4"/>
    <w:basedOn w:val="ndice"/>
    <w:pPr/>
    <w:rPr/>
  </w:style>
  <w:style w:type="paragraph" w:styleId="TOC5">
    <w:name w:val="toc 5"/>
    <w:basedOn w:val="ndice"/>
    <w:pPr/>
    <w:rPr/>
  </w:style>
  <w:style w:type="paragraph" w:styleId="TOC6">
    <w:name w:val="toc 6"/>
    <w:basedOn w:val="ndice"/>
    <w:pPr/>
    <w:rPr/>
  </w:style>
  <w:style w:type="paragraph" w:styleId="TOC7">
    <w:name w:val="toc 7"/>
    <w:basedOn w:val="ndice"/>
    <w:pPr/>
    <w:rPr/>
  </w:style>
  <w:style w:type="paragraph" w:styleId="TOC8">
    <w:name w:val="toc 8"/>
    <w:basedOn w:val="ndice"/>
    <w:pPr/>
    <w:rPr/>
  </w:style>
  <w:style w:type="paragraph" w:styleId="TOC9">
    <w:name w:val="toc 9"/>
    <w:basedOn w:val="ndice"/>
    <w:pPr/>
    <w:rPr/>
  </w:style>
  <w:style w:type="numbering" w:styleId="Ningunalista" w:default="1">
    <w:name w:val="Ninguna lista"/>
    <w:uiPriority w:val="99"/>
    <w:semiHidden/>
    <w:unhideWhenUsed/>
    <w:qFormat/>
  </w:style>
  <w:style w:type="table" w:styleId="Tablanormal" w:default="1">
    <w:name w:val="Normal Table"/>
    <w:uiPriority w:val="99"/>
    <w:semiHidden/>
    <w:unhideWhenUsed/>
    <w:tblPr>
      <w:tblCellMar>
        <w:top w:w="0" w:type="dxa"/>
        <w:left w:w="108" w:type="dxa"/>
        <w:bottom w:w="0" w:type="dxa"/>
        <w:right w:w="108" w:type="dxa"/>
      </w:tblCellMar>
    </w:tblPr>
  </w:style>
  <w:style w:type="paragraph" w:styleId="EndnoteText">
    <w:uiPriority w:val="99"/>
    <w:name w:val="endnote text"/>
    <w:basedOn w:val="Normal"/>
    <w:semiHidden/>
    <w:unhideWhenUsed/>
    <w:rsid w:val="442EAC12"/>
    <w:rPr>
      <w:sz w:val="20"/>
      <w:szCs w:val="20"/>
    </w:rPr>
    <w:pPr>
      <w:spacing w:after="0"/>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eader" Target="header1.xml" Id="rId2" /><Relationship Type="http://schemas.openxmlformats.org/officeDocument/2006/relationships/header" Target="header2.xml" Id="rId3" /><Relationship Type="http://schemas.openxmlformats.org/officeDocument/2006/relationships/header" Target="header3.xml" Id="rId4" /><Relationship Type="http://schemas.openxmlformats.org/officeDocument/2006/relationships/footer" Target="footer1.xml" Id="rId5" /><Relationship Type="http://schemas.openxmlformats.org/officeDocument/2006/relationships/footer" Target="footer2.xml" Id="rId6" /><Relationship Type="http://schemas.openxmlformats.org/officeDocument/2006/relationships/footer" Target="footer3.xml" Id="rId7" /><Relationship Type="http://schemas.openxmlformats.org/officeDocument/2006/relationships/numbering" Target="numbering.xml" Id="rId8" /><Relationship Type="http://schemas.openxmlformats.org/officeDocument/2006/relationships/fontTable" Target="fontTable.xml" Id="rId9" /><Relationship Type="http://schemas.openxmlformats.org/officeDocument/2006/relationships/settings" Target="settings.xml" Id="rId10" /><Relationship Type="http://schemas.openxmlformats.org/officeDocument/2006/relationships/theme" Target="theme/theme1.xml" Id="rId11" /><Relationship Type="http://schemas.openxmlformats.org/officeDocument/2006/relationships/customXml" Target="../customXml/item1.xml" Id="rId12" /><Relationship Type="http://schemas.openxmlformats.org/officeDocument/2006/relationships/comments" Target="comments.xml" Id="R50c893b7df9d4689" /><Relationship Type="http://schemas.microsoft.com/office/2011/relationships/people" Target="people.xml" Id="R4d2952ee3362475e" /><Relationship Type="http://schemas.microsoft.com/office/2011/relationships/commentsExtended" Target="commentsExtended.xml" Id="R9ee3ffb26e8f4f95" /><Relationship Type="http://schemas.microsoft.com/office/2016/09/relationships/commentsIds" Target="commentsIds.xml" Id="R857d42ddb4844023" /><Relationship Type="http://schemas.microsoft.com/office/2018/08/relationships/commentsExtensible" Target="commentsExtensible.xml" Id="Ra24a1f880f944b82" /><Relationship Type="http://schemas.openxmlformats.org/officeDocument/2006/relationships/image" Target="/media/imagee.png" Id="rId1008243521" /><Relationship Type="http://schemas.openxmlformats.org/officeDocument/2006/relationships/image" Target="/media/imagef.png" Id="rId282021257" /><Relationship Type="http://schemas.openxmlformats.org/officeDocument/2006/relationships/image" Target="/media/image10.png" Id="rId1027493547" /><Relationship Type="http://schemas.openxmlformats.org/officeDocument/2006/relationships/image" Target="/media/image11.png" Id="rId518418560" /><Relationship Type="http://schemas.openxmlformats.org/officeDocument/2006/relationships/image" Target="/media/image12.png" Id="rId1602143575" /><Relationship Type="http://schemas.openxmlformats.org/officeDocument/2006/relationships/image" Target="/media/image13.png" Id="rId516959022" /><Relationship Type="http://schemas.openxmlformats.org/officeDocument/2006/relationships/image" Target="/media/image14.png" Id="rId1858323471" /><Relationship Type="http://schemas.openxmlformats.org/officeDocument/2006/relationships/image" Target="/media/image15.png" Id="rId410751436" /><Relationship Type="http://schemas.openxmlformats.org/officeDocument/2006/relationships/image" Target="/media/image16.png" Id="rId890150696" /><Relationship Type="http://schemas.openxmlformats.org/officeDocument/2006/relationships/image" Target="/media/image17.png" Id="rId1709605489" /><Relationship Type="http://schemas.openxmlformats.org/officeDocument/2006/relationships/image" Target="/media/image18.png" Id="rId922090151" /></Relationships>
</file>

<file path=word/_rels/footer3.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EA0A8-95C4-4670-A58E-B40CBF213A7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2025-09-03T16:01:00.0000000Z</dcterms:created>
  <dc:creator>Esteban Alberto Correa Bedoya</dc:creator>
  <dc:description/>
  <dc:language>es-ES</dc:language>
  <lastModifiedBy>sebastiansanchez_02@hotmail.com</lastModifiedBy>
  <dcterms:modified xsi:type="dcterms:W3CDTF">2025-11-21T15:17:02.9918845Z</dcterms:modified>
  <revision>12</revision>
  <dc:subject/>
  <dc:title/>
</coreProperties>
</file>

<file path=docProps/custom.xml><?xml version="1.0" encoding="utf-8"?>
<Properties xmlns="http://schemas.openxmlformats.org/officeDocument/2006/custom-properties" xmlns:vt="http://schemas.openxmlformats.org/officeDocument/2006/docPropsVTypes"/>
</file>