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jpeg" ContentType="image/jpeg"/>
  <Override PartName="/word/media/image11.png" ContentType="image/png"/>
  <Override PartName="/word/media/image8.png" ContentType="image/png"/>
  <Override PartName="/word/media/image12.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000000"/>
        </w:rPr>
      </w:pPr>
      <w:r>
        <w:rPr>
          <w:b/>
          <w:bCs/>
          <w:color w:val="000000"/>
        </w:rPr>
        <w:t>ANEXOS TÉCNICOS DEL INFORME DE AVANCE A LA EJECUCIÓN DEL PROYECTO</w:t>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color w:val="000000"/>
        </w:rPr>
      </w:pPr>
      <w:r>
        <w:rPr>
          <w:rFonts w:eastAsia="Arial Narrow" w:cs="Arial Narrow"/>
          <w:b/>
          <w:bCs/>
          <w:color w:val="000000"/>
          <w:szCs w:val="24"/>
        </w:rPr>
        <w:t>PROYECTO: “VIABILIZACIÓN DE LA PRODUCCIÓN NACIONAL DE MATERIALES Y METODOLOGÍAS PARA EL TRANSPORTE, ALMACENAMIENTO Y USO DE HIDRÓGENO BLANCO”.</w:t>
      </w:r>
    </w:p>
    <w:p>
      <w:pPr>
        <w:pStyle w:val="Normal"/>
        <w:jc w:val="center"/>
        <w:rPr>
          <w:rFonts w:eastAsia="Arial Narrow" w:cs="Arial Narrow"/>
          <w:b/>
          <w:bCs/>
          <w:color w:val="000000"/>
          <w:szCs w:val="24"/>
        </w:rPr>
      </w:pPr>
      <w:r>
        <w:rPr>
          <w:rFonts w:eastAsia="Arial Narrow" w:cs="Arial Narrow"/>
          <w:b/>
          <w:bCs/>
          <w:color w:val="000000"/>
          <w:szCs w:val="24"/>
        </w:rPr>
      </w:r>
    </w:p>
    <w:p>
      <w:pPr>
        <w:pStyle w:val="Normal"/>
        <w:jc w:val="center"/>
        <w:rPr>
          <w:color w:val="000000"/>
        </w:rPr>
      </w:pPr>
      <w:r>
        <w:rPr>
          <w:rFonts w:eastAsia="Arial Narrow" w:cs="Arial Narrow"/>
          <w:b/>
          <w:bCs/>
          <w:color w:val="000000"/>
          <w:szCs w:val="24"/>
        </w:rPr>
        <w:t>CÓDIGO SIGP 110923</w:t>
      </w:r>
    </w:p>
    <w:p>
      <w:pPr>
        <w:pStyle w:val="Normal"/>
        <w:jc w:val="center"/>
        <w:rPr>
          <w:color w:val="000000"/>
        </w:rPr>
      </w:pPr>
      <w:r>
        <w:rPr>
          <w:rFonts w:eastAsia="Arial Narrow" w:cs="Arial Narrow"/>
          <w:b/>
          <w:bCs/>
          <w:color w:val="000000"/>
          <w:szCs w:val="24"/>
        </w:rPr>
        <w:t>Contrato No. 112721-056-2025</w:t>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color w:val="000000"/>
        </w:rPr>
      </w:pPr>
      <w:r>
        <w:rPr>
          <w:rFonts w:eastAsia="Arial Narrow" w:cs="Arial Narrow"/>
          <w:b/>
          <w:color w:val="000000"/>
          <w:szCs w:val="24"/>
        </w:rPr>
        <w:t>ENTIDAD EJECUTORA:</w:t>
      </w:r>
    </w:p>
    <w:p>
      <w:pPr>
        <w:pStyle w:val="Normal"/>
        <w:jc w:val="center"/>
        <w:rPr>
          <w:color w:val="000000"/>
        </w:rPr>
      </w:pPr>
      <w:r>
        <w:rPr>
          <w:rFonts w:eastAsia="Arial Narrow" w:cs="Arial Narrow"/>
          <w:b/>
          <w:color w:val="000000"/>
          <w:szCs w:val="24"/>
        </w:rPr>
        <w:t>Universidad de Medellín</w:t>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color w:val="000000"/>
        </w:rPr>
      </w:pPr>
      <w:r>
        <w:rPr>
          <w:rFonts w:eastAsia="Arial Narrow" w:cs="Arial Narrow"/>
          <w:b/>
          <w:color w:val="000000"/>
          <w:szCs w:val="24"/>
        </w:rPr>
        <w:t>ENTIDADES ALIADAS:</w:t>
      </w:r>
    </w:p>
    <w:p>
      <w:pPr>
        <w:pStyle w:val="Normal"/>
        <w:jc w:val="center"/>
        <w:rPr>
          <w:color w:val="000000"/>
        </w:rPr>
      </w:pPr>
      <w:r>
        <w:rPr>
          <w:rFonts w:eastAsia="Arial Narrow" w:cs="Arial Narrow"/>
          <w:b/>
          <w:color w:val="000000"/>
          <w:szCs w:val="24"/>
        </w:rPr>
        <w:t>Universidad Pontifica Bolivariana</w:t>
      </w:r>
    </w:p>
    <w:p>
      <w:pPr>
        <w:pStyle w:val="Normal"/>
        <w:jc w:val="center"/>
        <w:rPr>
          <w:color w:val="000000"/>
        </w:rPr>
      </w:pPr>
      <w:r>
        <w:rPr>
          <w:rFonts w:eastAsia="Arial Narrow" w:cs="Arial Narrow"/>
          <w:b/>
          <w:color w:val="000000"/>
          <w:szCs w:val="24"/>
        </w:rPr>
        <w:t>Universidad de Antioquia</w:t>
      </w:r>
    </w:p>
    <w:p>
      <w:pPr>
        <w:pStyle w:val="Normal"/>
        <w:jc w:val="center"/>
        <w:rPr>
          <w:color w:val="000000"/>
        </w:rPr>
      </w:pPr>
      <w:r>
        <w:rPr>
          <w:rFonts w:eastAsia="Arial Narrow" w:cs="Arial Narrow"/>
          <w:b/>
          <w:color w:val="000000"/>
          <w:szCs w:val="24"/>
        </w:rPr>
        <w:t>Comité Colombiano del WEC</w:t>
      </w:r>
    </w:p>
    <w:p>
      <w:pPr>
        <w:pStyle w:val="Normal"/>
        <w:jc w:val="center"/>
        <w:rPr>
          <w:rFonts w:eastAsia="Arial Narrow" w:cs="Arial Narrow"/>
          <w:b/>
          <w:color w:val="000000"/>
          <w:szCs w:val="24"/>
        </w:rPr>
      </w:pPr>
      <w:r>
        <w:rPr>
          <w:rFonts w:eastAsia="Arial Narrow" w:cs="Arial Narrow"/>
          <w:b/>
          <w:color w:val="000000"/>
          <w:szCs w:val="24"/>
        </w:rPr>
      </w:r>
    </w:p>
    <w:p>
      <w:pPr>
        <w:pStyle w:val="Normal"/>
        <w:jc w:val="both"/>
        <w:rPr>
          <w:rFonts w:eastAsia="Arial Narrow" w:cs="Arial Narrow"/>
          <w:b/>
          <w:color w:val="000000"/>
          <w:szCs w:val="24"/>
        </w:rPr>
      </w:pPr>
      <w:r>
        <w:rPr>
          <w:rFonts w:eastAsia="Arial Narrow" w:cs="Arial Narrow"/>
          <w:b/>
          <w:color w:val="000000"/>
          <w:szCs w:val="24"/>
        </w:rPr>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color w:val="000000"/>
        </w:rPr>
      </w:pPr>
      <w:r>
        <w:rPr>
          <w:rFonts w:eastAsia="Arial Narrow" w:cs="Arial Narrow"/>
          <w:b/>
          <w:color w:val="000000"/>
          <w:szCs w:val="24"/>
        </w:rPr>
        <w:t>ANEXOS TÉCNICOS OBJETIVO ESPECÍFICO 2</w:t>
      </w:r>
    </w:p>
    <w:p>
      <w:pPr>
        <w:pStyle w:val="Normal"/>
        <w:jc w:val="center"/>
        <w:rPr>
          <w:color w:val="000000"/>
        </w:rPr>
      </w:pPr>
      <w:bookmarkStart w:id="0" w:name="_Hlk207789727"/>
      <w:r>
        <w:rPr>
          <w:rFonts w:eastAsia="Arial Narrow" w:cs="Arial Narrow"/>
          <w:b/>
          <w:color w:val="000000"/>
          <w:szCs w:val="24"/>
        </w:rPr>
        <w:t>Sistema modular de almacenamiento</w:t>
      </w:r>
      <w:bookmarkEnd w:id="0"/>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rFonts w:eastAsia="Arial Narrow" w:cs="Arial Narrow"/>
          <w:b/>
          <w:color w:val="000000"/>
          <w:szCs w:val="24"/>
        </w:rPr>
      </w:pPr>
      <w:r>
        <w:rPr>
          <w:rFonts w:eastAsia="Arial Narrow" w:cs="Arial Narrow"/>
          <w:b/>
          <w:color w:val="000000"/>
          <w:szCs w:val="24"/>
        </w:rPr>
      </w:r>
    </w:p>
    <w:p>
      <w:pPr>
        <w:pStyle w:val="Normal"/>
        <w:jc w:val="center"/>
        <w:rPr>
          <w:color w:val="000000"/>
        </w:rPr>
      </w:pPr>
      <w:r>
        <w:rPr>
          <w:rFonts w:eastAsia="Arial Narrow" w:cs="Arial Narrow"/>
          <w:b/>
          <w:color w:val="000000"/>
          <w:szCs w:val="24"/>
          <w:shd w:fill="auto" w:val="clear"/>
        </w:rPr>
        <w:t>Medellín, 3 de Octubre de 2025</w:t>
      </w:r>
    </w:p>
    <w:p>
      <w:pPr>
        <w:pStyle w:val="Normal"/>
        <w:jc w:val="center"/>
        <w:rPr>
          <w:rFonts w:eastAsia="Arial Narrow" w:cs="Arial Narrow"/>
          <w:b/>
          <w:color w:val="000000"/>
          <w:szCs w:val="24"/>
          <w:highlight w:val="yellow"/>
        </w:rPr>
      </w:pPr>
      <w:r>
        <w:rPr>
          <w:rFonts w:eastAsia="Arial Narrow" w:cs="Arial Narrow"/>
          <w:b/>
          <w:color w:val="000000"/>
          <w:szCs w:val="24"/>
          <w:highlight w:val="yellow"/>
        </w:rPr>
      </w:r>
    </w:p>
    <w:p>
      <w:pPr>
        <w:pStyle w:val="Normal"/>
        <w:spacing w:before="0" w:after="160"/>
        <w:jc w:val="center"/>
        <w:rPr>
          <w:color w:val="000000"/>
        </w:rPr>
      </w:pPr>
      <w:r>
        <w:rPr>
          <w:b/>
          <w:bCs/>
          <w:color w:val="000000"/>
        </w:rPr>
        <w:t>TABLA DE CONTENIDO</w:t>
      </w:r>
    </w:p>
    <w:sdt>
      <w:sdtPr>
        <w:docPartObj>
          <w:docPartGallery w:val="Table of Contents"/>
          <w:docPartUnique w:val="true"/>
        </w:docPartObj>
      </w:sdtPr>
      <w:sdtContent>
        <w:p>
          <w:pPr>
            <w:pStyle w:val="TOC1"/>
            <w:tabs>
              <w:tab w:val="clear" w:pos="708"/>
              <w:tab w:val="left" w:pos="440" w:leader="none"/>
              <w:tab w:val="right" w:pos="8837" w:leader="dot"/>
            </w:tabs>
            <w:rPr/>
          </w:pPr>
          <w:r>
            <w:fldChar w:fldCharType="begin"/>
          </w:r>
          <w:r>
            <w:rPr>
              <w:rStyle w:val="Enlacedelndice"/>
            </w:rPr>
            <w:instrText xml:space="preserve"> TOC \f \o "1-9" \h</w:instrText>
          </w:r>
          <w:r>
            <w:rPr>
              <w:rStyle w:val="Enlacedelndice"/>
            </w:rPr>
            <w:fldChar w:fldCharType="separate"/>
          </w:r>
          <w:hyperlink w:anchor="__RefHeading___Toc1431_3807646603">
            <w:r>
              <w:rPr>
                <w:rStyle w:val="Enlacedelndice"/>
              </w:rPr>
              <w:t>2</w:t>
            </w:r>
            <w:r>
              <w:rPr>
                <w:rStyle w:val="Enlacedelndice"/>
              </w:rPr>
              <w:tab/>
              <w:t>INFORME DE AVANCE TÉCNICO: DISEÑO DEL REACTOR MHR-AB PARA ESCALADO MODULAR</w:t>
              <w:tab/>
              <w:t>3</w:t>
            </w:r>
          </w:hyperlink>
        </w:p>
        <w:p>
          <w:pPr>
            <w:pStyle w:val="TOC2"/>
            <w:tabs>
              <w:tab w:val="clear" w:pos="708"/>
              <w:tab w:val="left" w:pos="880" w:leader="none"/>
              <w:tab w:val="right" w:pos="8837" w:leader="dot"/>
            </w:tabs>
            <w:rPr/>
          </w:pPr>
          <w:hyperlink w:anchor="__RefHeading___Toc3539_3282141063">
            <w:r>
              <w:rPr>
                <w:rStyle w:val="Enlacedelndice"/>
              </w:rPr>
              <w:t>2.1</w:t>
              <w:tab/>
              <w:t>Resumen</w:t>
              <w:tab/>
              <w:t>3</w:t>
            </w:r>
          </w:hyperlink>
        </w:p>
        <w:p>
          <w:pPr>
            <w:pStyle w:val="TOC2"/>
            <w:tabs>
              <w:tab w:val="clear" w:pos="708"/>
              <w:tab w:val="left" w:pos="880" w:leader="none"/>
              <w:tab w:val="right" w:pos="8837" w:leader="dot"/>
            </w:tabs>
            <w:rPr/>
          </w:pPr>
          <w:hyperlink w:anchor="__RefHeading___Toc3541_3282141063">
            <w:r>
              <w:rPr>
                <w:rStyle w:val="Enlacedelndice"/>
              </w:rPr>
              <w:t>2.2</w:t>
              <w:tab/>
              <w:t>Objetivo</w:t>
              <w:tab/>
              <w:t>3</w:t>
            </w:r>
          </w:hyperlink>
        </w:p>
        <w:p>
          <w:pPr>
            <w:pStyle w:val="TOC2"/>
            <w:tabs>
              <w:tab w:val="clear" w:pos="708"/>
              <w:tab w:val="left" w:pos="880" w:leader="none"/>
              <w:tab w:val="right" w:pos="8837" w:leader="dot"/>
            </w:tabs>
            <w:rPr/>
          </w:pPr>
          <w:hyperlink w:anchor="__RefHeading___Toc3543_3282141063">
            <w:r>
              <w:rPr>
                <w:rStyle w:val="Enlacedelndice"/>
              </w:rPr>
              <w:t>2.3</w:t>
              <w:tab/>
              <w:t>Introducción</w:t>
              <w:tab/>
              <w:t>3</w:t>
            </w:r>
          </w:hyperlink>
        </w:p>
        <w:p>
          <w:pPr>
            <w:pStyle w:val="TOC2"/>
            <w:tabs>
              <w:tab w:val="clear" w:pos="708"/>
              <w:tab w:val="left" w:pos="880" w:leader="none"/>
              <w:tab w:val="right" w:pos="8837" w:leader="dot"/>
            </w:tabs>
            <w:rPr/>
          </w:pPr>
          <w:hyperlink w:anchor="__RefHeading___Toc1433_3807646603">
            <w:r>
              <w:rPr>
                <w:rStyle w:val="Enlacedelndice"/>
              </w:rPr>
              <w:t>2.4</w:t>
              <w:tab/>
              <w:t>Metodologías empleadas en el diseño de MHR</w:t>
              <w:tab/>
              <w:t>4</w:t>
            </w:r>
          </w:hyperlink>
        </w:p>
        <w:p>
          <w:pPr>
            <w:pStyle w:val="TOC2"/>
            <w:tabs>
              <w:tab w:val="clear" w:pos="708"/>
              <w:tab w:val="left" w:pos="880" w:leader="none"/>
              <w:tab w:val="right" w:pos="8837" w:leader="dot"/>
            </w:tabs>
            <w:rPr/>
          </w:pPr>
          <w:hyperlink w:anchor="__RefHeading___Toc1437_3807646603">
            <w:r>
              <w:rPr>
                <w:rStyle w:val="Enlacedelndice"/>
              </w:rPr>
              <w:t>2.5</w:t>
              <w:tab/>
              <w:t>Metodología de Diseño de MHR</w:t>
              <w:tab/>
              <w:t>6</w:t>
            </w:r>
          </w:hyperlink>
        </w:p>
        <w:p>
          <w:pPr>
            <w:pStyle w:val="TOC3"/>
            <w:tabs>
              <w:tab w:val="clear" w:pos="708"/>
              <w:tab w:val="left" w:pos="1320" w:leader="none"/>
              <w:tab w:val="right" w:pos="8837" w:leader="dot"/>
            </w:tabs>
            <w:rPr/>
          </w:pPr>
          <w:hyperlink w:anchor="__RefHeading___Toc3079_3807646603">
            <w:r>
              <w:rPr>
                <w:rStyle w:val="Enlacedelndice"/>
              </w:rPr>
              <w:t>2.5.1</w:t>
              <w:tab/>
              <w:t>Fase I: Definición de prioridades y selección de material</w:t>
              <w:tab/>
              <w:t>8</w:t>
            </w:r>
          </w:hyperlink>
        </w:p>
        <w:p>
          <w:pPr>
            <w:pStyle w:val="TOC3"/>
            <w:tabs>
              <w:tab w:val="clear" w:pos="708"/>
              <w:tab w:val="left" w:pos="1320" w:leader="none"/>
              <w:tab w:val="right" w:pos="8837" w:leader="dot"/>
            </w:tabs>
            <w:rPr/>
          </w:pPr>
          <w:hyperlink w:anchor="__RefHeading___Toc3913_3282141063">
            <w:r>
              <w:rPr>
                <w:rStyle w:val="Enlacedelndice"/>
              </w:rPr>
              <w:t>2.5.2</w:t>
              <w:tab/>
              <w:t>Fase II: Diseño Conceptual y Esqueletización</w:t>
              <w:tab/>
              <w:t>8</w:t>
            </w:r>
          </w:hyperlink>
        </w:p>
        <w:p>
          <w:pPr>
            <w:pStyle w:val="TOC2"/>
            <w:tabs>
              <w:tab w:val="clear" w:pos="708"/>
              <w:tab w:val="left" w:pos="880" w:leader="none"/>
              <w:tab w:val="right" w:pos="8837" w:leader="dot"/>
            </w:tabs>
            <w:rPr/>
          </w:pPr>
          <w:hyperlink w:anchor="__RefHeading___Toc4443_3807646603_Copia_">
            <w:r>
              <w:rPr>
                <w:rStyle w:val="Enlacedelndice"/>
              </w:rPr>
              <w:t>2.6</w:t>
              <w:tab/>
              <w:t>Desarrollo Metodológico y Avances</w:t>
              <w:tab/>
              <w:t>9</w:t>
            </w:r>
          </w:hyperlink>
        </w:p>
        <w:p>
          <w:pPr>
            <w:pStyle w:val="TOC3"/>
            <w:tabs>
              <w:tab w:val="clear" w:pos="708"/>
              <w:tab w:val="left" w:pos="1320" w:leader="none"/>
              <w:tab w:val="right" w:pos="8837" w:leader="dot"/>
            </w:tabs>
            <w:rPr/>
          </w:pPr>
          <w:hyperlink w:anchor="__RefHeading___Toc9315_1937502249_Copia_">
            <w:r>
              <w:rPr>
                <w:rStyle w:val="Enlacedelndice"/>
              </w:rPr>
              <w:t>2.6.1</w:t>
              <w:tab/>
              <w:t>Fase I: Definición de Prioridades y Selección de Material</w:t>
              <w:tab/>
              <w:t>9</w:t>
            </w:r>
          </w:hyperlink>
        </w:p>
        <w:p>
          <w:pPr>
            <w:pStyle w:val="TOC3"/>
            <w:tabs>
              <w:tab w:val="clear" w:pos="708"/>
              <w:tab w:val="left" w:pos="1320" w:leader="none"/>
              <w:tab w:val="right" w:pos="8837" w:leader="dot"/>
            </w:tabs>
            <w:rPr/>
          </w:pPr>
          <w:hyperlink w:anchor="__RefHeading___Toc4445_3807646603_Copia_">
            <w:r>
              <w:rPr>
                <w:rStyle w:val="Enlacedelndice"/>
              </w:rPr>
              <w:t>2.6.2</w:t>
              <w:tab/>
              <w:t xml:space="preserve"> </w:t>
            </w:r>
            <w:r>
              <w:rPr>
                <w:rStyle w:val="Enlacedelndice"/>
                <w:i w:val="false"/>
                <w:iCs w:val="false"/>
              </w:rPr>
              <w:t>Optimización de la Transferencia de Calor</w:t>
            </w:r>
            <w:r>
              <w:rPr>
                <w:rStyle w:val="Enlacedelndice"/>
              </w:rPr>
              <w:tab/>
              <w:t>10</w:t>
            </w:r>
          </w:hyperlink>
        </w:p>
        <w:p>
          <w:pPr>
            <w:pStyle w:val="TOC3"/>
            <w:tabs>
              <w:tab w:val="clear" w:pos="708"/>
              <w:tab w:val="left" w:pos="1320" w:leader="none"/>
              <w:tab w:val="right" w:pos="8837" w:leader="dot"/>
            </w:tabs>
            <w:rPr/>
          </w:pPr>
          <w:hyperlink w:anchor="__RefHeading___Toc9319_1937502249_Copia_">
            <w:r>
              <w:rPr>
                <w:rStyle w:val="Enlacedelndice"/>
              </w:rPr>
              <w:t>2.6.3</w:t>
              <w:tab/>
              <w:t>Fase II: Diseño Conceptual</w:t>
              <w:tab/>
              <w:t>11</w:t>
            </w:r>
          </w:hyperlink>
        </w:p>
        <w:p>
          <w:pPr>
            <w:pStyle w:val="TOC2"/>
            <w:tabs>
              <w:tab w:val="clear" w:pos="708"/>
              <w:tab w:val="left" w:pos="880" w:leader="none"/>
              <w:tab w:val="right" w:pos="8837" w:leader="dot"/>
            </w:tabs>
            <w:rPr/>
          </w:pPr>
          <w:hyperlink w:anchor="__RefHeading___Toc1435_3807646603_Copia_">
            <w:r>
              <w:rPr>
                <w:rStyle w:val="Enlacedelndice"/>
              </w:rPr>
              <w:t>2.7</w:t>
              <w:tab/>
              <w:t>Desarrollo en Diseños reactores MHRs</w:t>
              <w:tab/>
              <w:t>11</w:t>
            </w:r>
          </w:hyperlink>
        </w:p>
        <w:p>
          <w:pPr>
            <w:pStyle w:val="TOC3"/>
            <w:tabs>
              <w:tab w:val="clear" w:pos="708"/>
              <w:tab w:val="left" w:pos="1320" w:leader="none"/>
              <w:tab w:val="right" w:pos="8837" w:leader="dot"/>
            </w:tabs>
            <w:rPr/>
          </w:pPr>
          <w:hyperlink w:anchor="__RefHeading___Toc1424_1937502249">
            <w:r>
              <w:rPr>
                <w:rStyle w:val="Enlacedelndice"/>
              </w:rPr>
              <w:t>2.7.1</w:t>
              <w:tab/>
              <w:t>Condiciones de Operación del Prototipo</w:t>
              <w:tab/>
              <w:t>11</w:t>
            </w:r>
          </w:hyperlink>
        </w:p>
        <w:p>
          <w:pPr>
            <w:pStyle w:val="TOC3"/>
            <w:tabs>
              <w:tab w:val="clear" w:pos="708"/>
              <w:tab w:val="left" w:pos="1320" w:leader="none"/>
              <w:tab w:val="right" w:pos="8837" w:leader="dot"/>
            </w:tabs>
            <w:rPr/>
          </w:pPr>
          <w:hyperlink w:anchor="__RefHeading___Toc4053_1275166574">
            <w:r>
              <w:rPr>
                <w:rStyle w:val="Enlacedelndice"/>
              </w:rPr>
              <w:t>2.7.2</w:t>
              <w:tab/>
              <w:t>Diseño Térmico</w:t>
              <w:tab/>
              <w:t>12</w:t>
            </w:r>
          </w:hyperlink>
        </w:p>
        <w:p>
          <w:pPr>
            <w:pStyle w:val="TOC3"/>
            <w:tabs>
              <w:tab w:val="clear" w:pos="708"/>
              <w:tab w:val="left" w:pos="1320" w:leader="none"/>
              <w:tab w:val="right" w:pos="8837" w:leader="dot"/>
            </w:tabs>
            <w:rPr/>
          </w:pPr>
          <w:hyperlink w:anchor="__RefHeading___Toc4055_1275166574">
            <w:r>
              <w:rPr>
                <w:rStyle w:val="Enlacedelndice"/>
              </w:rPr>
              <w:t>2.7.3</w:t>
              <w:tab/>
              <w:t>Cálculo Básico de Espesor (ASME UG-27)</w:t>
              <w:tab/>
              <w:t>13</w:t>
            </w:r>
          </w:hyperlink>
        </w:p>
        <w:p>
          <w:pPr>
            <w:pStyle w:val="TOC3"/>
            <w:tabs>
              <w:tab w:val="clear" w:pos="708"/>
              <w:tab w:val="left" w:pos="1320" w:leader="none"/>
              <w:tab w:val="right" w:pos="8837" w:leader="dot"/>
            </w:tabs>
            <w:rPr/>
          </w:pPr>
          <w:hyperlink w:anchor="__RefHeading___Toc4061_1275166574">
            <w:r>
              <w:rPr>
                <w:rStyle w:val="Enlacedelndice"/>
              </w:rPr>
              <w:t>2.7.4</w:t>
              <w:tab/>
              <w:t>Próximos avances</w:t>
              <w:tab/>
              <w:t>14</w:t>
            </w:r>
          </w:hyperlink>
        </w:p>
        <w:p>
          <w:pPr>
            <w:pStyle w:val="TOC2"/>
            <w:tabs>
              <w:tab w:val="clear" w:pos="708"/>
              <w:tab w:val="left" w:pos="880" w:leader="none"/>
              <w:tab w:val="right" w:pos="8837" w:leader="dot"/>
            </w:tabs>
            <w:rPr/>
          </w:pPr>
          <w:hyperlink w:anchor="__RefHeading___Toc1447_3807646603">
            <w:r>
              <w:rPr>
                <w:rStyle w:val="Enlacedelndice"/>
              </w:rPr>
              <w:t>2.8</w:t>
              <w:tab/>
              <w:t>Referencias</w:t>
              <w:tab/>
              <w:t>14</w:t>
            </w:r>
          </w:hyperlink>
          <w:r>
            <w:rPr>
              <w:rStyle w:val="Enlacedelndice"/>
            </w:rPr>
            <w:fldChar w:fldCharType="end"/>
          </w:r>
        </w:p>
      </w:sdtContent>
    </w:sdt>
    <w:p>
      <w:pPr>
        <w:pStyle w:val="Ttulodelndicedetablas"/>
        <w:suppressLineNumbers/>
        <w:ind w:hanging="0" w:left="0"/>
        <w:rPr>
          <w:b/>
          <w:bCs/>
          <w:sz w:val="32"/>
          <w:szCs w:val="32"/>
        </w:rPr>
      </w:pPr>
      <w:r>
        <w:rPr>
          <w:b/>
          <w:bCs/>
          <w:sz w:val="32"/>
          <w:szCs w:val="32"/>
        </w:rPr>
        <w:t>Índice de tablas</w:t>
      </w:r>
    </w:p>
    <w:p>
      <w:pPr>
        <w:pStyle w:val="TableofFigures"/>
        <w:tabs>
          <w:tab w:val="clear" w:pos="8838"/>
          <w:tab w:val="right" w:pos="8837" w:leader="dot"/>
        </w:tabs>
        <w:rPr/>
      </w:pPr>
      <w:r>
        <w:fldChar w:fldCharType="begin"/>
      </w:r>
      <w:r>
        <w:rPr>
          <w:rStyle w:val="Enlacedelndice"/>
        </w:rPr>
        <w:instrText xml:space="preserve"> TOC \c "Tabla" \h </w:instrText>
      </w:r>
      <w:r>
        <w:rPr>
          <w:rStyle w:val="Enlacedelndice"/>
        </w:rPr>
        <w:fldChar w:fldCharType="separate"/>
      </w:r>
      <w:hyperlink w:anchor="Tabla!1|sequence">
        <w:r>
          <w:rPr>
            <w:rStyle w:val="Enlacedelndice"/>
          </w:rPr>
          <w:t>Tabla 1: Materiales clave, configuraciones de diseño y parámetros operacionales</w:t>
        </w:r>
        <w:r>
          <w:rPr>
            <w:rStyle w:val="Enlacedelndice"/>
          </w:rPr>
          <w:tab/>
          <w:t>7</w:t>
        </w:r>
      </w:hyperlink>
    </w:p>
    <w:p>
      <w:pPr>
        <w:pStyle w:val="TableofFigures"/>
        <w:tabs>
          <w:tab w:val="clear" w:pos="8838"/>
          <w:tab w:val="right" w:pos="8837" w:leader="dot"/>
        </w:tabs>
        <w:rPr/>
      </w:pPr>
      <w:hyperlink w:anchor="Tabla!0|sequence">
        <w:r>
          <w:rPr>
            <w:rStyle w:val="Enlacedelndice"/>
          </w:rPr>
          <w:t>Tabla 2: Selección de materiales bajo Norma ASME Sección VIII para el prototipo MHR-AB</w:t>
          <w:tab/>
          <w:t>10</w:t>
        </w:r>
      </w:hyperlink>
    </w:p>
    <w:p>
      <w:pPr>
        <w:pStyle w:val="TableofFigures"/>
        <w:tabs>
          <w:tab w:val="clear" w:pos="8838"/>
          <w:tab w:val="right" w:pos="8837" w:leader="dot"/>
        </w:tabs>
        <w:rPr/>
      </w:pPr>
      <w:hyperlink w:anchor="Tabla!2|sequence">
        <w:r>
          <w:rPr>
            <w:rStyle w:val="Enlacedelndice"/>
          </w:rPr>
          <w:t>Tabla 3: Condiciones base de operación del prototipo MHR-AB</w:t>
          <w:tab/>
          <w:t>12</w:t>
        </w:r>
      </w:hyperlink>
    </w:p>
    <w:p>
      <w:pPr>
        <w:pStyle w:val="TableofFigures"/>
        <w:tabs>
          <w:tab w:val="clear" w:pos="8838"/>
          <w:tab w:val="right" w:pos="8837" w:leader="dot"/>
        </w:tabs>
        <w:rPr/>
      </w:pPr>
      <w:hyperlink w:anchor="Tabla!3|sequence">
        <w:r>
          <w:rPr>
            <w:rStyle w:val="Enlacedelndice"/>
          </w:rPr>
          <w:t>Tabla 4: Actividades próximas a ejecutar en el diseño del prototipo MHR-AB</w:t>
          <w:tab/>
          <w:t>13</w:t>
        </w:r>
      </w:hyperlink>
    </w:p>
    <w:p>
      <w:pPr>
        <w:pStyle w:val="TableofFigures"/>
        <w:tabs>
          <w:tab w:val="clear" w:pos="8838"/>
          <w:tab w:val="right" w:pos="8837" w:leader="dot"/>
        </w:tabs>
        <w:rPr/>
      </w:pPr>
      <w:hyperlink w:anchor="Tabla!4|sequence">
        <w:r>
          <w:rPr>
            <w:rStyle w:val="Enlacedelndice"/>
          </w:rPr>
          <w:t>Tabla 5: Cálculo básico de espesor (ASME UG-27)</w:t>
          <w:tab/>
          <w:t>14</w:t>
        </w:r>
      </w:hyperlink>
    </w:p>
    <w:p>
      <w:pPr>
        <w:pStyle w:val="TableofFigures"/>
        <w:tabs>
          <w:tab w:val="clear" w:pos="8838"/>
          <w:tab w:val="right" w:pos="8837" w:leader="dot"/>
        </w:tabs>
        <w:rPr/>
      </w:pPr>
      <w:hyperlink w:anchor="Tabla!5|sequence">
        <w:r>
          <w:rPr>
            <w:rStyle w:val="Enlacedelndice"/>
          </w:rPr>
          <w:t>Tabla 6: Avances consolidados y próximos retos de escalado</w:t>
          <w:tab/>
          <w:t>14</w:t>
        </w:r>
      </w:hyperlink>
      <w:r>
        <w:rPr>
          <w:rStyle w:val="Enlacedelndice"/>
        </w:rPr>
        <w:fldChar w:fldCharType="end"/>
      </w:r>
    </w:p>
    <w:p>
      <w:pPr>
        <w:pStyle w:val="Heading1"/>
        <w:ind w:hanging="0" w:left="0"/>
        <w:rPr>
          <w:color w:val="000000"/>
        </w:rPr>
      </w:pPr>
      <w:bookmarkStart w:id="1" w:name="__RefHeading___Toc1431_3807646603"/>
      <w:bookmarkEnd w:id="1"/>
      <w:r>
        <w:rPr>
          <w:color w:val="000000"/>
        </w:rPr>
        <w:t>INFORME DE AVANCE TÉCNICO: DISEÑO DEL REACTOR MHR-AB PARA ESCALADO MODULAR</w:t>
      </w:r>
    </w:p>
    <w:p>
      <w:pPr>
        <w:pStyle w:val="Normal"/>
        <w:ind w:hanging="0" w:left="0"/>
        <w:rPr>
          <w:color w:val="000000"/>
        </w:rPr>
      </w:pPr>
      <w:r>
        <w:rPr>
          <w:color w:val="000000"/>
        </w:rPr>
      </w:r>
    </w:p>
    <w:p>
      <w:pPr>
        <w:pStyle w:val="Heading2"/>
        <w:ind w:hanging="0" w:left="1284"/>
        <w:rPr/>
      </w:pPr>
      <w:bookmarkStart w:id="2" w:name="__RefHeading___Toc3539_3282141063"/>
      <w:bookmarkEnd w:id="2"/>
      <w:r>
        <w:rPr/>
        <w:t>Resumen</w:t>
      </w:r>
    </w:p>
    <w:p>
      <w:pPr>
        <w:pStyle w:val="BodyText"/>
        <w:ind w:hanging="0" w:left="0"/>
        <w:rPr/>
      </w:pPr>
      <w:r>
        <w:rPr>
          <w:b w:val="false"/>
          <w:bCs w:val="false"/>
        </w:rPr>
        <w:t xml:space="preserve">Este informe presenta las condiciones iniciales de diseño y los principales retos en el desarrollo de un Reactor de Hidruros Metálicos (MHR-AB), orientado al almacenamiento modular de hidrógeno blanco. Se integran referencias bibliográficas recientes, así como tablas comparativas de materiales y configuraciones de reactores, complementadas con figuras adaptadas de la literatura especializada. En la primera parte se describe la </w:t>
      </w:r>
      <w:r>
        <w:rPr>
          <w:rStyle w:val="Strong"/>
          <w:b w:val="false"/>
          <w:bCs w:val="false"/>
        </w:rPr>
        <w:t>metodología adoptada</w:t>
      </w:r>
      <w:r>
        <w:rPr>
          <w:b w:val="false"/>
          <w:bCs w:val="false"/>
        </w:rPr>
        <w:t xml:space="preserve">, seguida de los </w:t>
      </w:r>
      <w:r>
        <w:rPr>
          <w:rStyle w:val="Strong"/>
          <w:b w:val="false"/>
          <w:bCs w:val="false"/>
        </w:rPr>
        <w:t>avances metodológicos</w:t>
      </w:r>
      <w:r>
        <w:rPr>
          <w:b w:val="false"/>
          <w:bCs w:val="false"/>
        </w:rPr>
        <w:t xml:space="preserve"> que delinean la ruta de trabajo hacia la </w:t>
      </w:r>
      <w:r>
        <w:rPr>
          <w:rStyle w:val="Strong"/>
          <w:b w:val="false"/>
          <w:bCs w:val="false"/>
        </w:rPr>
        <w:t>Fase II del proyecto</w:t>
      </w:r>
      <w:r>
        <w:rPr>
          <w:b w:val="false"/>
          <w:bCs w:val="false"/>
        </w:rPr>
        <w:t xml:space="preserve">. Finalmente, se presentan los elementos normativos más relevantes de la </w:t>
      </w:r>
      <w:r>
        <w:rPr>
          <w:rStyle w:val="Strong"/>
          <w:b w:val="false"/>
          <w:bCs w:val="false"/>
        </w:rPr>
        <w:t>Sección VIII del código ASME para recipientes a presión</w:t>
      </w:r>
      <w:r>
        <w:rPr>
          <w:b w:val="false"/>
          <w:bCs w:val="false"/>
        </w:rPr>
        <w:t>, q</w:t>
      </w:r>
      <w:r>
        <w:rPr/>
        <w:t>ue constituyen la base de las condiciones de diseño preliminares en esta Fase I.</w:t>
      </w:r>
    </w:p>
    <w:p>
      <w:pPr>
        <w:pStyle w:val="Heading2"/>
        <w:ind w:hanging="0" w:left="1284"/>
        <w:rPr/>
      </w:pPr>
      <w:bookmarkStart w:id="3" w:name="__RefHeading___Toc3541_3282141063"/>
      <w:bookmarkEnd w:id="3"/>
      <w:r>
        <w:rPr/>
        <w:t>Objetivo</w:t>
      </w:r>
    </w:p>
    <w:p>
      <w:pPr>
        <w:pStyle w:val="Normal"/>
        <w:rPr/>
      </w:pPr>
      <w:r>
        <w:rPr/>
        <w:t>Determinar condiciones iniciales de diseño, bajo normativa ASME y literatura especializada, para el desarrollo de un Reactor MHR-AB destinado a aplicaciones estacionarias de almacenamiento de hidrógeno.</w:t>
      </w:r>
    </w:p>
    <w:p>
      <w:pPr>
        <w:pStyle w:val="Heading2"/>
        <w:ind w:hanging="0" w:left="1284"/>
        <w:rPr/>
      </w:pPr>
      <w:bookmarkStart w:id="4" w:name="__RefHeading___Toc3543_3282141063"/>
      <w:bookmarkEnd w:id="4"/>
      <w:r>
        <w:rPr/>
        <w:t>Introducción</w:t>
      </w:r>
    </w:p>
    <w:p>
      <w:pPr>
        <w:pStyle w:val="Normal"/>
        <w:ind w:hanging="0" w:left="0"/>
        <w:rPr>
          <w:color w:val="000000"/>
        </w:rPr>
      </w:pPr>
      <w:r>
        <w:rPr>
          <w:color w:val="000000"/>
          <w:lang w:val="es-CO"/>
        </w:rPr>
        <w:t xml:space="preserve">El almacenamiento de hidrógeno sigue siendo un obstáculo crítico para la adopción generalizada del hidrógeno como fuente de energía renovable. Aunque los hidruros metálicos (MHs - Metal Hydrides) ofrecen propiedades atractivas para el almacenamiento de hidrógeno, como alta densidad energética y seguridad operacional, es fundamental desarrollar reactores de hidruros metálicos (MHR - Metal Hydrides Reactors) prácticos y rentables a gran escala para superar este desafío. </w:t>
      </w:r>
      <w:r>
        <w:rPr>
          <w:b w:val="false"/>
          <w:bCs w:val="false"/>
          <w:color w:val="000000"/>
          <w:lang w:val="es-CO"/>
        </w:rPr>
        <w:t xml:space="preserve">La implementación de sistemas de almacenamiento de Hidrógeno (H₂) en estado sólido mediante hidruros metálicos (MH) es reconocida como un desafío crítico para la masificación de la energía de hidrógeno [1]. La limitación principal reside en el diseño del Reactor de Hidruro Metálico (MHR), el cual debe gestionar eficazmente la transferencia de calor y masa para garantizar una cinética estable y segura. </w:t>
      </w:r>
      <w:r>
        <w:rPr>
          <w:b w:val="false"/>
          <w:bCs w:val="false"/>
          <w:color w:val="000000"/>
        </w:rPr>
        <w:t>A diferencia de los sistemas de alta presión, los MHR son óptimos para aplicaciones estacionarias de Hidrógeno Blanco debido a su alta densidad volumétrica y condiciones operativas más suaves. Sin embargo, la reacción de absorción de H2​ es fuertemente exotérmica, mientras que la desorción es endotérmica. La baja conductividad térmica intrínseca de los polvos de hidruro, como el NaAlH4​ [2] y el LaNi5​ [3], ralentiza drásticamente la cinética. Por lo tanto, el diseño del intercambiador de calor es el factor dominante del rendimiento [4].</w:t>
      </w:r>
    </w:p>
    <w:p>
      <w:pPr>
        <w:pStyle w:val="Heading2"/>
        <w:ind w:hanging="576" w:left="1284"/>
        <w:rPr>
          <w:color w:val="000000"/>
        </w:rPr>
      </w:pPr>
      <w:bookmarkStart w:id="5" w:name="__RefHeading___Toc1433_3807646603"/>
      <w:bookmarkEnd w:id="5"/>
      <w:r>
        <w:rPr>
          <w:color w:val="000000"/>
        </w:rPr>
        <w:t xml:space="preserve">Metodologías empleadas en el diseño de MHR </w:t>
      </w:r>
    </w:p>
    <w:p>
      <w:pPr>
        <w:pStyle w:val="Normal"/>
        <w:rPr>
          <w:color w:val="000000"/>
        </w:rPr>
      </w:pPr>
      <w:r>
        <w:rPr>
          <w:color w:val="000000"/>
        </w:rPr>
        <w:t xml:space="preserve">Recientemente, Dong et al [1]. recopilaron de 1781 documentos con éxito diversas metodologías para el diseño </w:t>
      </w:r>
      <w:r>
        <w:rPr>
          <w:b w:val="false"/>
          <w:bCs w:val="false"/>
          <w:color w:val="000000"/>
        </w:rPr>
        <w:t>de Reactor de hidruro metálico (MHR), que debe gestionar eficientemente la transferencia de calor y masa para garantizar un rendimiento estable y seguro.</w:t>
      </w:r>
      <w:r>
        <w:rPr>
          <w:color w:val="000000"/>
        </w:rPr>
        <w:t xml:space="preserve"> a gran escala. Este estudio destaca la importancia de un enfoque sistemático en el proceso de diseño y escalado para lograr un rendimiento estable y seguro en la aplicación final del MHR. A través de un análisis cienciométrico de los avances investigativos y comerciales de los últimos 20 años lograron detallar la hoja de ruta para el escalamiento de estos reactores. El proceso se puede representar esquemáticamente como se indica en la figura 1.</w:t>
      </w:r>
    </w:p>
    <w:p>
      <w:pPr>
        <w:pStyle w:val="Normal"/>
        <w:rPr>
          <w:color w:val="000000"/>
        </w:rPr>
      </w:pPr>
      <w:r>
        <w:rPr/>
        <w:drawing>
          <wp:inline distT="0" distB="0" distL="0" distR="0">
            <wp:extent cx="5988685" cy="7432675"/>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988685" cy="7432675"/>
                    </a:xfrm>
                    <a:prstGeom prst="rect">
                      <a:avLst/>
                    </a:prstGeom>
                    <a:noFill/>
                  </pic:spPr>
                </pic:pic>
              </a:graphicData>
            </a:graphic>
          </wp:inline>
        </w:drawing>
      </w:r>
      <w:r>
        <w:rPr>
          <w:color w:val="000000"/>
        </w:rPr>
        <w:br/>
      </w:r>
      <w:r>
        <w:rPr>
          <w:color w:val="000000"/>
          <w:lang w:val="es-CO"/>
        </w:rPr>
        <w:t>Figura 1. Representación esquemática del proceso de desarrollo de un MHR. Tomado y adaptado de [1]</w:t>
      </w:r>
    </w:p>
    <w:p>
      <w:pPr>
        <w:pStyle w:val="Normal"/>
        <w:ind w:hanging="0" w:left="0" w:right="0"/>
        <w:rPr>
          <w:color w:val="000000"/>
        </w:rPr>
      </w:pPr>
      <w:r>
        <w:rPr>
          <w:color w:val="000000"/>
          <w:lang w:val="es-CO"/>
        </w:rPr>
        <w:t>Se observa entonces que, en general, las metodologías de escalado consisten de 4 pasos. El paso inicial se enfoca en definir las prioridades relacionadas con la aplicación, considerando las condiciones de operación como la presión de hidrógeno, la temperatura del reactor y las fuentes de entrada y salida. Estas prioridades ayudan a establecer parámetros de diseño clave, como la capacidad volumétrica del sistema (SVC - Storage Volumetric Capacity), la capacidad gravimétrica del sistema (SGC - Storage Gravimetric Capacity), los costos, la dinámica del sistema, la seguridad, la eficiencia energética y la estabilidad durante los ciclos.</w:t>
      </w:r>
      <w:r>
        <w:rPr>
          <w:color w:val="000000"/>
        </w:rPr>
        <w:t> </w:t>
      </w:r>
    </w:p>
    <w:p>
      <w:pPr>
        <w:pStyle w:val="BodyText"/>
        <w:spacing w:lineRule="auto" w:line="240" w:before="0" w:after="160"/>
        <w:ind w:hanging="0" w:left="0" w:right="0"/>
        <w:rPr>
          <w:color w:val="000000"/>
        </w:rPr>
      </w:pPr>
      <w:r>
        <w:rPr>
          <w:color w:val="000000"/>
          <w:lang w:val="es-CO"/>
        </w:rPr>
        <w:t>El segundo paso consiste en definir un esquema inicial para visualizar y explorar las posibles configuraciones. Este incluye la selección del MH, el tipo de configuración del reactor (cilíndrico o no cilíndrico) y el sistema de transferencia de calor. Además, se consideran los métodos de llenado del reactor y los materiales de la pared (SS316, aleaciones de Aluminio). Esta fase es seguida de cálculos computacionales para evaluar el rendimiento del diseño inicial. Las simulaciones numéricas permiten analizar indicadores de rendimiento como la temperatura, la fracción de reacción de MH y la presión de equilibrio. Esta evaluación incluye mejoras estructurales externas y la optimización de la transferencia de calor y masa.</w:t>
      </w:r>
      <w:r>
        <w:rPr>
          <w:color w:val="000000"/>
        </w:rPr>
        <w:t> </w:t>
      </w:r>
    </w:p>
    <w:p>
      <w:pPr>
        <w:pStyle w:val="BodyText"/>
        <w:spacing w:lineRule="auto" w:line="240" w:before="0" w:after="160"/>
        <w:ind w:hanging="0" w:left="0" w:right="0"/>
        <w:rPr>
          <w:color w:val="000000"/>
        </w:rPr>
      </w:pPr>
      <w:r>
        <w:rPr>
          <w:color w:val="000000"/>
          <w:lang w:val="es-CO"/>
        </w:rPr>
        <w:t>El último paso implica la experimentación y evaluación del diseño optimizado. Aquí se obtiene el rendimiento real del sistema y se valida su capacidad y estructura optimizada. Los índices de inspección principales incluyen la dinámica central, la seguridad, la estabilidad, la economía y la practicidad. Los resultados experimentales se utilizan para refinar las simulaciones y asegurar que el MHR satisfaga los requisitos del escenario de aplicación.</w:t>
      </w:r>
    </w:p>
    <w:p>
      <w:pPr>
        <w:pStyle w:val="BodyText"/>
        <w:spacing w:lineRule="auto" w:line="240" w:before="0" w:after="160"/>
        <w:ind w:hanging="0" w:left="0" w:right="0"/>
        <w:rPr>
          <w:color w:val="000000"/>
          <w:lang w:val="es-CO"/>
        </w:rPr>
      </w:pPr>
      <w:r>
        <w:rPr>
          <w:color w:val="000000"/>
          <w:lang w:val="es-CO"/>
        </w:rPr>
      </w:r>
    </w:p>
    <w:p>
      <w:pPr>
        <w:pStyle w:val="Heading2"/>
        <w:ind w:hanging="576" w:left="1284"/>
        <w:rPr>
          <w:color w:val="000000"/>
        </w:rPr>
      </w:pPr>
      <w:bookmarkStart w:id="6" w:name="__RefHeading___Toc1437_3807646603"/>
      <w:bookmarkStart w:id="7" w:name="_Toc207791227"/>
      <w:bookmarkEnd w:id="6"/>
      <w:bookmarkEnd w:id="7"/>
      <w:r>
        <w:rPr/>
        <w:t>Metodología de Diseño de MHR</w:t>
      </w:r>
    </w:p>
    <w:p>
      <w:pPr>
        <w:pStyle w:val="Normal"/>
        <w:ind w:hanging="0" w:left="0"/>
        <w:rPr>
          <w:color w:val="000000"/>
        </w:rPr>
      </w:pPr>
      <w:r>
        <w:rPr>
          <w:b w:val="false"/>
          <w:bCs w:val="false"/>
          <w:color w:val="000000"/>
        </w:rPr>
        <w:t xml:space="preserve">La metodología para el diseño y desarrollo del Reactor de Hidruro Metálico (MHR) para aplicaciones estacionarias de </w:t>
      </w:r>
      <w:r>
        <w:rPr>
          <w:rStyle w:val="Strong"/>
          <w:b w:val="false"/>
          <w:bCs w:val="false"/>
          <w:color w:val="000000"/>
        </w:rPr>
        <w:t>Hidrógeno Blanco</w:t>
      </w:r>
      <w:r>
        <w:rPr>
          <w:b w:val="false"/>
          <w:bCs w:val="false"/>
          <w:color w:val="000000"/>
        </w:rPr>
        <w:t xml:space="preserve"> se fundamenta en el esquema de </w:t>
      </w:r>
      <w:r>
        <w:rPr>
          <w:rStyle w:val="Strong"/>
          <w:b w:val="false"/>
          <w:bCs w:val="false"/>
          <w:color w:val="000000"/>
        </w:rPr>
        <w:t>cuatro fases de escalado</w:t>
      </w:r>
      <w:r>
        <w:rPr>
          <w:b w:val="false"/>
          <w:bCs w:val="false"/>
          <w:color w:val="000000"/>
        </w:rPr>
        <w:t xml:space="preserve"> propuesto en la literatura [1], adaptado a los requerimientos de </w:t>
      </w:r>
      <w:r>
        <w:rPr>
          <w:rStyle w:val="Strong"/>
          <w:b w:val="false"/>
          <w:bCs w:val="false"/>
          <w:color w:val="000000"/>
        </w:rPr>
        <w:t>bajo costo, seguridad y condiciones operativas moderadas</w:t>
      </w:r>
      <w:r>
        <w:rPr>
          <w:b w:val="false"/>
          <w:bCs w:val="false"/>
          <w:color w:val="000000"/>
        </w:rPr>
        <w:t>. Este enfoque garantiza la optimización térmica y mecánica del sistema, integrando normativas de seguridad (ASME Sección VIII).</w:t>
      </w:r>
    </w:p>
    <w:p>
      <w:pPr>
        <w:pStyle w:val="Normal"/>
        <w:rPr/>
      </w:pPr>
      <w:r>
        <w:rPr>
          <w:b w:val="false"/>
          <w:bCs w:val="false"/>
          <w:color w:val="000000"/>
        </w:rPr>
        <w:t xml:space="preserve">La selección de </w:t>
      </w:r>
      <w:r>
        <w:rPr>
          <w:rStyle w:val="Strong"/>
          <w:b w:val="false"/>
          <w:bCs w:val="false"/>
          <w:color w:val="000000"/>
        </w:rPr>
        <w:t>materiales de hidruro metálico (MH)</w:t>
      </w:r>
      <w:r>
        <w:rPr>
          <w:b w:val="false"/>
          <w:bCs w:val="false"/>
          <w:color w:val="000000"/>
        </w:rPr>
        <w:t xml:space="preserve"> y las estrategias de diseño de los reactores han sido ampliamente estudiadas en la literatura. Los parámetros críticos incluyen la </w:t>
      </w:r>
      <w:r>
        <w:rPr>
          <w:rStyle w:val="Strong"/>
          <w:b w:val="false"/>
          <w:bCs w:val="false"/>
          <w:color w:val="000000"/>
        </w:rPr>
        <w:t>conductividad térmica del lecho</w:t>
      </w:r>
      <w:r>
        <w:rPr>
          <w:b w:val="false"/>
          <w:bCs w:val="false"/>
          <w:color w:val="000000"/>
        </w:rPr>
        <w:t xml:space="preserve">, la </w:t>
      </w:r>
      <w:r>
        <w:rPr>
          <w:rStyle w:val="Strong"/>
          <w:b w:val="false"/>
          <w:bCs w:val="false"/>
          <w:color w:val="000000"/>
        </w:rPr>
        <w:t>estrategia de transferencia de calor</w:t>
      </w:r>
      <w:r>
        <w:rPr>
          <w:b w:val="false"/>
          <w:bCs w:val="false"/>
          <w:color w:val="000000"/>
        </w:rPr>
        <w:t xml:space="preserve"> y las </w:t>
      </w:r>
      <w:r>
        <w:rPr>
          <w:rStyle w:val="Strong"/>
          <w:b w:val="false"/>
          <w:bCs w:val="false"/>
          <w:color w:val="000000"/>
        </w:rPr>
        <w:t>condiciones de operación</w:t>
      </w:r>
      <w:r>
        <w:rPr>
          <w:b w:val="false"/>
          <w:bCs w:val="false"/>
          <w:color w:val="000000"/>
        </w:rPr>
        <w:t xml:space="preserve"> (presión, temperatura, ciclos). La </w:t>
      </w:r>
      <w:r>
        <w:rPr>
          <w:rStyle w:val="Strong"/>
          <w:b w:val="false"/>
          <w:bCs w:val="false"/>
          <w:color w:val="000000"/>
        </w:rPr>
        <w:t>Tabla 1</w:t>
      </w:r>
      <w:r>
        <w:rPr>
          <w:b w:val="false"/>
          <w:bCs w:val="false"/>
          <w:color w:val="000000"/>
        </w:rPr>
        <w:t xml:space="preserve"> resume los casos más representativos reportados, los cuales han servido como referencia para definir las condiciones iniciales de diseño en este proyecto.</w:t>
      </w:r>
    </w:p>
    <w:tbl>
      <w:tblPr>
        <w:tblW w:w="9188" w:type="dxa"/>
        <w:jc w:val="left"/>
        <w:tblInd w:w="28" w:type="dxa"/>
        <w:tblLayout w:type="fixed"/>
        <w:tblCellMar>
          <w:top w:w="28" w:type="dxa"/>
          <w:left w:w="28" w:type="dxa"/>
          <w:bottom w:w="28" w:type="dxa"/>
          <w:right w:w="28" w:type="dxa"/>
        </w:tblCellMar>
      </w:tblPr>
      <w:tblGrid>
        <w:gridCol w:w="1242"/>
        <w:gridCol w:w="1405"/>
        <w:gridCol w:w="1358"/>
        <w:gridCol w:w="1754"/>
        <w:gridCol w:w="1995"/>
        <w:gridCol w:w="1433"/>
      </w:tblGrid>
      <w:tr>
        <w:trPr>
          <w:tblHeader w:val="true"/>
        </w:trPr>
        <w:tc>
          <w:tcPr>
            <w:tcW w:w="1242" w:type="dxa"/>
            <w:tcBorders/>
            <w:vAlign w:val="center"/>
          </w:tcPr>
          <w:p>
            <w:pPr>
              <w:pStyle w:val="Ttulodelatablauser"/>
              <w:keepNext w:val="true"/>
              <w:spacing w:before="0" w:after="160"/>
              <w:rPr>
                <w:sz w:val="20"/>
                <w:szCs w:val="20"/>
              </w:rPr>
            </w:pPr>
            <w:r>
              <w:rPr>
                <w:sz w:val="20"/>
                <w:szCs w:val="20"/>
              </w:rPr>
              <w:t>Material de Hidruro (MH)</w:t>
            </w:r>
          </w:p>
        </w:tc>
        <w:tc>
          <w:tcPr>
            <w:tcW w:w="1405" w:type="dxa"/>
            <w:tcBorders/>
            <w:vAlign w:val="center"/>
          </w:tcPr>
          <w:p>
            <w:pPr>
              <w:pStyle w:val="Ttulodelatablauser"/>
              <w:spacing w:before="0" w:after="160"/>
              <w:rPr>
                <w:sz w:val="20"/>
                <w:szCs w:val="20"/>
              </w:rPr>
            </w:pPr>
            <w:r>
              <w:rPr>
                <w:sz w:val="20"/>
                <w:szCs w:val="20"/>
              </w:rPr>
              <w:t>Tipo de Aleación (ABn)</w:t>
            </w:r>
          </w:p>
        </w:tc>
        <w:tc>
          <w:tcPr>
            <w:tcW w:w="1358" w:type="dxa"/>
            <w:tcBorders/>
            <w:vAlign w:val="center"/>
          </w:tcPr>
          <w:p>
            <w:pPr>
              <w:pStyle w:val="Ttulodelatablauser"/>
              <w:spacing w:before="0" w:after="160"/>
              <w:rPr>
                <w:sz w:val="20"/>
                <w:szCs w:val="20"/>
              </w:rPr>
            </w:pPr>
            <w:r>
              <w:rPr>
                <w:sz w:val="20"/>
                <w:szCs w:val="20"/>
              </w:rPr>
              <w:t>Material de Pared/Tanque</w:t>
            </w:r>
          </w:p>
        </w:tc>
        <w:tc>
          <w:tcPr>
            <w:tcW w:w="1754" w:type="dxa"/>
            <w:tcBorders/>
            <w:vAlign w:val="center"/>
          </w:tcPr>
          <w:p>
            <w:pPr>
              <w:pStyle w:val="Ttulodelatablauser"/>
              <w:spacing w:before="0" w:after="160"/>
              <w:rPr>
                <w:sz w:val="20"/>
                <w:szCs w:val="20"/>
              </w:rPr>
            </w:pPr>
            <w:r>
              <w:rPr>
                <w:sz w:val="20"/>
                <w:szCs w:val="20"/>
              </w:rPr>
              <w:t>Estrategia de Transferencia de Calor</w:t>
            </w:r>
          </w:p>
        </w:tc>
        <w:tc>
          <w:tcPr>
            <w:tcW w:w="1995" w:type="dxa"/>
            <w:tcBorders/>
            <w:vAlign w:val="center"/>
          </w:tcPr>
          <w:p>
            <w:pPr>
              <w:pStyle w:val="Ttulodelatablauser"/>
              <w:spacing w:before="0" w:after="160"/>
              <w:rPr>
                <w:sz w:val="20"/>
                <w:szCs w:val="20"/>
              </w:rPr>
            </w:pPr>
            <w:r>
              <w:rPr>
                <w:sz w:val="20"/>
                <w:szCs w:val="20"/>
              </w:rPr>
              <w:t>Parámetros Clave de Operación/Rendimiento</w:t>
            </w:r>
          </w:p>
        </w:tc>
        <w:tc>
          <w:tcPr>
            <w:tcW w:w="1433" w:type="dxa"/>
            <w:tcBorders/>
            <w:vAlign w:val="center"/>
          </w:tcPr>
          <w:p>
            <w:pPr>
              <w:pStyle w:val="Ttulodelatablauser"/>
              <w:spacing w:before="0" w:after="160"/>
              <w:rPr>
                <w:sz w:val="20"/>
                <w:szCs w:val="20"/>
              </w:rPr>
            </w:pPr>
            <w:r>
              <w:rPr>
                <w:sz w:val="20"/>
                <w:szCs w:val="20"/>
              </w:rPr>
              <w:t>Referencia</w:t>
            </w:r>
          </w:p>
        </w:tc>
      </w:tr>
      <w:tr>
        <w:trPr/>
        <w:tc>
          <w:tcPr>
            <w:tcW w:w="1242" w:type="dxa"/>
            <w:tcBorders/>
            <w:vAlign w:val="center"/>
          </w:tcPr>
          <w:p>
            <w:pPr>
              <w:pStyle w:val="Contenidodelatablauser"/>
              <w:keepNext w:val="true"/>
              <w:widowControl w:val="false"/>
              <w:suppressLineNumbers/>
              <w:spacing w:before="0" w:after="160"/>
              <w:rPr/>
            </w:pPr>
            <w:r>
              <w:rPr>
                <w:rStyle w:val="Strong"/>
                <w:sz w:val="20"/>
                <w:szCs w:val="20"/>
              </w:rPr>
              <w:t>NaAlH₄</w:t>
            </w:r>
          </w:p>
        </w:tc>
        <w:tc>
          <w:tcPr>
            <w:tcW w:w="1405" w:type="dxa"/>
            <w:tcBorders/>
            <w:vAlign w:val="center"/>
          </w:tcPr>
          <w:p>
            <w:pPr>
              <w:pStyle w:val="Contenidodelatablauser"/>
              <w:spacing w:before="0" w:after="160"/>
              <w:rPr>
                <w:sz w:val="20"/>
                <w:szCs w:val="20"/>
              </w:rPr>
            </w:pPr>
            <w:r>
              <w:rPr>
                <w:sz w:val="20"/>
                <w:szCs w:val="20"/>
              </w:rPr>
              <w:t>Compuesto (Alta densidad)</w:t>
            </w:r>
          </w:p>
        </w:tc>
        <w:tc>
          <w:tcPr>
            <w:tcW w:w="1358" w:type="dxa"/>
            <w:tcBorders/>
            <w:vAlign w:val="center"/>
          </w:tcPr>
          <w:p>
            <w:pPr>
              <w:pStyle w:val="Contenidodelatablauser"/>
              <w:spacing w:before="0" w:after="160"/>
              <w:rPr>
                <w:sz w:val="20"/>
                <w:szCs w:val="20"/>
              </w:rPr>
            </w:pPr>
            <w:r>
              <w:rPr>
                <w:sz w:val="20"/>
                <w:szCs w:val="20"/>
              </w:rPr>
              <w:t>Fibra de carbono compuesta</w:t>
            </w:r>
          </w:p>
        </w:tc>
        <w:tc>
          <w:tcPr>
            <w:tcW w:w="1754" w:type="dxa"/>
            <w:tcBorders/>
            <w:vAlign w:val="center"/>
          </w:tcPr>
          <w:p>
            <w:pPr>
              <w:pStyle w:val="Contenidodelatablauser"/>
              <w:spacing w:before="0" w:after="160"/>
              <w:rPr>
                <w:sz w:val="20"/>
                <w:szCs w:val="20"/>
              </w:rPr>
            </w:pPr>
            <w:r>
              <w:rPr>
                <w:sz w:val="20"/>
                <w:szCs w:val="20"/>
              </w:rPr>
              <w:t>Uso de HTF (aceite inerte) en lugar de agua, debido a la reactividad</w:t>
            </w:r>
          </w:p>
        </w:tc>
        <w:tc>
          <w:tcPr>
            <w:tcW w:w="1995" w:type="dxa"/>
            <w:tcBorders/>
            <w:vAlign w:val="center"/>
          </w:tcPr>
          <w:p>
            <w:pPr>
              <w:pStyle w:val="Contenidodelatablauser"/>
              <w:spacing w:before="0" w:after="160"/>
              <w:rPr>
                <w:sz w:val="20"/>
                <w:szCs w:val="20"/>
              </w:rPr>
            </w:pPr>
            <w:r>
              <w:rPr>
                <w:sz w:val="20"/>
                <w:szCs w:val="20"/>
              </w:rPr>
              <w:t>Sistema de alta densidad; requiere estricto control de ΔT</w:t>
            </w:r>
          </w:p>
        </w:tc>
        <w:tc>
          <w:tcPr>
            <w:tcW w:w="1433" w:type="dxa"/>
            <w:tcBorders/>
            <w:vAlign w:val="center"/>
          </w:tcPr>
          <w:p>
            <w:pPr>
              <w:pStyle w:val="Contenidodelatablauser"/>
              <w:spacing w:before="0" w:after="160"/>
              <w:rPr>
                <w:sz w:val="20"/>
                <w:szCs w:val="20"/>
              </w:rPr>
            </w:pPr>
            <w:r>
              <w:rPr>
                <w:sz w:val="20"/>
                <w:szCs w:val="20"/>
              </w:rPr>
              <w:t>Mosher et al. (2007) [2]</w:t>
            </w:r>
          </w:p>
        </w:tc>
      </w:tr>
      <w:tr>
        <w:trPr/>
        <w:tc>
          <w:tcPr>
            <w:tcW w:w="1242" w:type="dxa"/>
            <w:tcBorders/>
            <w:vAlign w:val="center"/>
          </w:tcPr>
          <w:p>
            <w:pPr>
              <w:pStyle w:val="Contenidodelatablauser"/>
              <w:keepNext w:val="true"/>
              <w:widowControl w:val="false"/>
              <w:suppressLineNumbers/>
              <w:spacing w:before="0" w:after="160"/>
              <w:rPr/>
            </w:pPr>
            <w:r>
              <w:rPr>
                <w:rStyle w:val="Strong"/>
                <w:sz w:val="20"/>
                <w:szCs w:val="20"/>
              </w:rPr>
              <w:t>LaNi₅</w:t>
            </w:r>
          </w:p>
        </w:tc>
        <w:tc>
          <w:tcPr>
            <w:tcW w:w="1405" w:type="dxa"/>
            <w:tcBorders/>
            <w:vAlign w:val="center"/>
          </w:tcPr>
          <w:p>
            <w:pPr>
              <w:pStyle w:val="Contenidodelatablauser"/>
              <w:spacing w:before="0" w:after="160"/>
              <w:rPr>
                <w:sz w:val="20"/>
                <w:szCs w:val="20"/>
              </w:rPr>
            </w:pPr>
            <w:r>
              <w:rPr>
                <w:sz w:val="20"/>
                <w:szCs w:val="20"/>
              </w:rPr>
              <w:t>AB5</w:t>
            </w:r>
          </w:p>
        </w:tc>
        <w:tc>
          <w:tcPr>
            <w:tcW w:w="1358" w:type="dxa"/>
            <w:tcBorders/>
            <w:vAlign w:val="center"/>
          </w:tcPr>
          <w:p>
            <w:pPr>
              <w:pStyle w:val="Contenidodelatablauser"/>
              <w:spacing w:before="0" w:after="160"/>
              <w:rPr>
                <w:sz w:val="20"/>
                <w:szCs w:val="20"/>
              </w:rPr>
            </w:pPr>
            <w:r>
              <w:rPr>
                <w:sz w:val="20"/>
                <w:szCs w:val="20"/>
              </w:rPr>
              <w:t>Acero inoxidable</w:t>
            </w:r>
          </w:p>
        </w:tc>
        <w:tc>
          <w:tcPr>
            <w:tcW w:w="1754" w:type="dxa"/>
            <w:tcBorders/>
            <w:vAlign w:val="center"/>
          </w:tcPr>
          <w:p>
            <w:pPr>
              <w:pStyle w:val="Contenidodelatablauser"/>
              <w:spacing w:before="0" w:after="160"/>
              <w:rPr>
                <w:sz w:val="20"/>
                <w:szCs w:val="20"/>
              </w:rPr>
            </w:pPr>
            <w:r>
              <w:rPr>
                <w:sz w:val="20"/>
                <w:szCs w:val="20"/>
              </w:rPr>
              <w:t>Aletas circulares de cobre radiales insertadas en el lecho</w:t>
            </w:r>
          </w:p>
        </w:tc>
        <w:tc>
          <w:tcPr>
            <w:tcW w:w="1995" w:type="dxa"/>
            <w:tcBorders/>
            <w:vAlign w:val="center"/>
          </w:tcPr>
          <w:p>
            <w:pPr>
              <w:pStyle w:val="Contenidodelatablauser"/>
              <w:spacing w:before="0" w:after="160"/>
              <w:rPr>
                <w:sz w:val="20"/>
                <w:szCs w:val="20"/>
              </w:rPr>
            </w:pPr>
            <w:r>
              <w:rPr>
                <w:sz w:val="20"/>
                <w:szCs w:val="20"/>
              </w:rPr>
              <w:t>La geometría de las aletas (grosor/número) controla el tiempo de carga/descarga</w:t>
            </w:r>
          </w:p>
        </w:tc>
        <w:tc>
          <w:tcPr>
            <w:tcW w:w="1433" w:type="dxa"/>
            <w:tcBorders/>
            <w:vAlign w:val="center"/>
          </w:tcPr>
          <w:p>
            <w:pPr>
              <w:pStyle w:val="Contenidodelatablauser"/>
              <w:spacing w:before="0" w:after="160"/>
              <w:rPr>
                <w:sz w:val="20"/>
                <w:szCs w:val="20"/>
              </w:rPr>
            </w:pPr>
            <w:r>
              <w:rPr>
                <w:sz w:val="20"/>
                <w:szCs w:val="20"/>
              </w:rPr>
              <w:t>Singh et al. (2015) [3]</w:t>
            </w:r>
          </w:p>
        </w:tc>
      </w:tr>
      <w:tr>
        <w:trPr/>
        <w:tc>
          <w:tcPr>
            <w:tcW w:w="1242" w:type="dxa"/>
            <w:tcBorders/>
            <w:vAlign w:val="center"/>
          </w:tcPr>
          <w:p>
            <w:pPr>
              <w:pStyle w:val="Contenidodelatablauser"/>
              <w:keepNext w:val="true"/>
              <w:widowControl w:val="false"/>
              <w:suppressLineNumbers/>
              <w:spacing w:before="0" w:after="160"/>
              <w:rPr/>
            </w:pPr>
            <w:r>
              <w:rPr>
                <w:rStyle w:val="Strong"/>
                <w:sz w:val="20"/>
                <w:szCs w:val="20"/>
              </w:rPr>
              <w:t>Mg₂Ni</w:t>
            </w:r>
          </w:p>
        </w:tc>
        <w:tc>
          <w:tcPr>
            <w:tcW w:w="1405" w:type="dxa"/>
            <w:tcBorders/>
            <w:vAlign w:val="center"/>
          </w:tcPr>
          <w:p>
            <w:pPr>
              <w:pStyle w:val="Contenidodelatablauser"/>
              <w:spacing w:before="0" w:after="160"/>
              <w:rPr>
                <w:sz w:val="20"/>
                <w:szCs w:val="20"/>
              </w:rPr>
            </w:pPr>
            <w:r>
              <w:rPr>
                <w:sz w:val="20"/>
                <w:szCs w:val="20"/>
              </w:rPr>
              <w:t>AB2</w:t>
            </w:r>
          </w:p>
        </w:tc>
        <w:tc>
          <w:tcPr>
            <w:tcW w:w="1358" w:type="dxa"/>
            <w:tcBorders/>
            <w:vAlign w:val="center"/>
          </w:tcPr>
          <w:p>
            <w:pPr>
              <w:pStyle w:val="Contenidodelatablauser"/>
              <w:spacing w:before="0" w:after="160"/>
              <w:rPr>
                <w:sz w:val="20"/>
                <w:szCs w:val="20"/>
              </w:rPr>
            </w:pPr>
            <w:r>
              <w:rPr>
                <w:sz w:val="20"/>
                <w:szCs w:val="20"/>
              </w:rPr>
              <w:t>Evaluacion numerica</w:t>
            </w:r>
          </w:p>
        </w:tc>
        <w:tc>
          <w:tcPr>
            <w:tcW w:w="1754" w:type="dxa"/>
            <w:tcBorders/>
            <w:vAlign w:val="center"/>
          </w:tcPr>
          <w:p>
            <w:pPr>
              <w:pStyle w:val="Contenidodelatablauser"/>
              <w:spacing w:before="0" w:after="160"/>
              <w:rPr>
                <w:sz w:val="20"/>
                <w:szCs w:val="20"/>
              </w:rPr>
            </w:pPr>
            <w:r>
              <w:rPr>
                <w:sz w:val="20"/>
                <w:szCs w:val="20"/>
              </w:rPr>
              <w:t>PCM (NaNO₃) integrado con tubos de HTF (rectos o en U)</w:t>
            </w:r>
          </w:p>
        </w:tc>
        <w:tc>
          <w:tcPr>
            <w:tcW w:w="1995" w:type="dxa"/>
            <w:tcBorders/>
            <w:vAlign w:val="center"/>
          </w:tcPr>
          <w:p>
            <w:pPr>
              <w:pStyle w:val="Contenidodelatablauser"/>
              <w:spacing w:before="0" w:after="160"/>
              <w:rPr>
                <w:sz w:val="20"/>
                <w:szCs w:val="20"/>
              </w:rPr>
            </w:pPr>
            <w:r>
              <w:rPr>
                <w:sz w:val="20"/>
                <w:szCs w:val="20"/>
              </w:rPr>
              <w:t>Compromiso entre velocidad de llenado y capacidad de almacenamiento de calor latente</w:t>
            </w:r>
          </w:p>
        </w:tc>
        <w:tc>
          <w:tcPr>
            <w:tcW w:w="1433" w:type="dxa"/>
            <w:tcBorders/>
            <w:vAlign w:val="center"/>
          </w:tcPr>
          <w:p>
            <w:pPr>
              <w:pStyle w:val="Contenidodelatablauser"/>
              <w:spacing w:before="0" w:after="160"/>
              <w:rPr>
                <w:sz w:val="20"/>
                <w:szCs w:val="20"/>
              </w:rPr>
            </w:pPr>
            <w:r>
              <w:rPr>
                <w:sz w:val="20"/>
                <w:szCs w:val="20"/>
              </w:rPr>
              <w:t>Mellouli et al. (2017) [</w:t>
            </w:r>
            <w:r>
              <w:rPr>
                <w:sz w:val="20"/>
                <w:szCs w:val="20"/>
              </w:rPr>
              <w:t>4</w:t>
            </w:r>
            <w:r>
              <w:rPr>
                <w:sz w:val="20"/>
                <w:szCs w:val="20"/>
              </w:rPr>
              <w:t>]</w:t>
            </w:r>
          </w:p>
        </w:tc>
      </w:tr>
      <w:tr>
        <w:trPr/>
        <w:tc>
          <w:tcPr>
            <w:tcW w:w="1242" w:type="dxa"/>
            <w:tcBorders/>
            <w:vAlign w:val="center"/>
          </w:tcPr>
          <w:p>
            <w:pPr>
              <w:pStyle w:val="Contenidodelatablauser"/>
              <w:keepNext w:val="true"/>
              <w:widowControl w:val="false"/>
              <w:suppressLineNumbers/>
              <w:spacing w:before="0" w:after="160"/>
              <w:rPr/>
            </w:pPr>
            <w:r>
              <w:rPr>
                <w:rStyle w:val="Strong"/>
                <w:sz w:val="20"/>
                <w:szCs w:val="20"/>
              </w:rPr>
              <w:t>TiFe-base</w:t>
            </w:r>
          </w:p>
        </w:tc>
        <w:tc>
          <w:tcPr>
            <w:tcW w:w="1405" w:type="dxa"/>
            <w:tcBorders/>
            <w:vAlign w:val="center"/>
          </w:tcPr>
          <w:p>
            <w:pPr>
              <w:pStyle w:val="Contenidodelatablauser"/>
              <w:spacing w:before="0" w:after="160"/>
              <w:rPr>
                <w:sz w:val="20"/>
                <w:szCs w:val="20"/>
              </w:rPr>
            </w:pPr>
            <w:r>
              <w:rPr>
                <w:sz w:val="20"/>
                <w:szCs w:val="20"/>
              </w:rPr>
              <w:t>AB</w:t>
            </w:r>
          </w:p>
        </w:tc>
        <w:tc>
          <w:tcPr>
            <w:tcW w:w="1358" w:type="dxa"/>
            <w:tcBorders/>
            <w:vAlign w:val="center"/>
          </w:tcPr>
          <w:p>
            <w:pPr>
              <w:pStyle w:val="Contenidodelatablauser"/>
              <w:spacing w:before="0" w:after="160"/>
              <w:rPr>
                <w:sz w:val="20"/>
                <w:szCs w:val="20"/>
              </w:rPr>
            </w:pPr>
            <w:r>
              <w:rPr>
                <w:sz w:val="20"/>
                <w:szCs w:val="20"/>
              </w:rPr>
              <w:t xml:space="preserve">Acero </w:t>
            </w:r>
          </w:p>
        </w:tc>
        <w:tc>
          <w:tcPr>
            <w:tcW w:w="1754" w:type="dxa"/>
            <w:tcBorders/>
            <w:vAlign w:val="center"/>
          </w:tcPr>
          <w:p>
            <w:pPr>
              <w:pStyle w:val="Contenidodelatablauser"/>
              <w:spacing w:before="0" w:after="160"/>
              <w:rPr>
                <w:sz w:val="20"/>
                <w:szCs w:val="20"/>
              </w:rPr>
            </w:pPr>
            <w:r>
              <w:rPr>
                <w:sz w:val="20"/>
                <w:szCs w:val="20"/>
              </w:rPr>
              <w:t>Tuberías internas con circulación de salmuera</w:t>
            </w:r>
          </w:p>
        </w:tc>
        <w:tc>
          <w:tcPr>
            <w:tcW w:w="1995" w:type="dxa"/>
            <w:tcBorders/>
            <w:vAlign w:val="center"/>
          </w:tcPr>
          <w:p>
            <w:pPr>
              <w:pStyle w:val="Contenidodelatablauser"/>
              <w:spacing w:before="0" w:after="160"/>
              <w:rPr>
                <w:sz w:val="20"/>
                <w:szCs w:val="20"/>
              </w:rPr>
            </w:pPr>
            <w:r>
              <w:rPr>
                <w:sz w:val="20"/>
                <w:szCs w:val="20"/>
              </w:rPr>
              <w:t>Adecuado para almacenamiento estacionario; condiciones suaves (≈1.0 MPa, 60–80 °C); requiere activación prolongada (≈284 h)</w:t>
            </w:r>
          </w:p>
        </w:tc>
        <w:tc>
          <w:tcPr>
            <w:tcW w:w="1433" w:type="dxa"/>
            <w:tcBorders/>
            <w:vAlign w:val="center"/>
          </w:tcPr>
          <w:p>
            <w:pPr>
              <w:pStyle w:val="Contenidodelatablauser"/>
              <w:spacing w:before="0" w:after="160"/>
              <w:rPr>
                <w:sz w:val="20"/>
                <w:szCs w:val="20"/>
              </w:rPr>
            </w:pPr>
            <w:r>
              <w:rPr>
                <w:sz w:val="20"/>
                <w:szCs w:val="20"/>
              </w:rPr>
              <w:t>Endo et al. (2017) [</w:t>
            </w:r>
            <w:r>
              <w:rPr>
                <w:sz w:val="20"/>
                <w:szCs w:val="20"/>
              </w:rPr>
              <w:t>5</w:t>
            </w:r>
            <w:r>
              <w:rPr>
                <w:sz w:val="20"/>
                <w:szCs w:val="20"/>
              </w:rPr>
              <w:t>]</w:t>
            </w:r>
          </w:p>
        </w:tc>
      </w:tr>
    </w:tbl>
    <w:p>
      <w:pPr>
        <w:pStyle w:val="Tablauser"/>
        <w:rPr/>
      </w:pPr>
      <w:r>
        <w:rPr/>
        <w:t xml:space="preserve">Tabla </w:t>
      </w:r>
      <w:r>
        <w:rPr/>
        <w:fldChar w:fldCharType="begin"/>
      </w:r>
      <w:r>
        <w:rPr/>
        <w:instrText xml:space="preserve"> SEQ Tabla \* ARABIC </w:instrText>
      </w:r>
      <w:r>
        <w:rPr/>
        <w:fldChar w:fldCharType="separate"/>
      </w:r>
      <w:r>
        <w:rPr/>
        <w:t>1</w:t>
      </w:r>
      <w:r>
        <w:rPr/>
        <w:fldChar w:fldCharType="end"/>
      </w:r>
      <w:r>
        <w:rPr/>
        <w:t>: Materiales clave, configuraciones de diseño y parámetros operacionales</w:t>
      </w:r>
    </w:p>
    <w:p>
      <w:pPr>
        <w:pStyle w:val="BodyText"/>
        <w:spacing w:lineRule="auto" w:line="240" w:before="120" w:after="120"/>
        <w:rPr>
          <w:rFonts w:cs="Noto Sans Devanagari"/>
          <w:b w:val="false"/>
          <w:bCs w:val="false"/>
          <w:i w:val="false"/>
          <w:i w:val="false"/>
          <w:iCs w:val="false"/>
          <w:szCs w:val="24"/>
        </w:rPr>
      </w:pPr>
      <w:r>
        <w:rPr>
          <w:rFonts w:cs="Noto Sans Devanagari"/>
          <w:b w:val="false"/>
          <w:bCs w:val="false"/>
          <w:i w:val="false"/>
          <w:iCs w:val="false"/>
          <w:szCs w:val="24"/>
        </w:rPr>
        <w:t>El análisis comparativo evidencia que:</w:t>
      </w:r>
    </w:p>
    <w:p>
      <w:pPr>
        <w:pStyle w:val="BodyText"/>
        <w:numPr>
          <w:ilvl w:val="0"/>
          <w:numId w:val="3"/>
        </w:numPr>
        <w:tabs>
          <w:tab w:val="clear" w:pos="708"/>
          <w:tab w:val="left" w:pos="0" w:leader="none"/>
        </w:tabs>
        <w:spacing w:lineRule="auto" w:line="240" w:before="120" w:after="120"/>
        <w:ind w:hanging="283" w:left="709"/>
        <w:rPr>
          <w:rFonts w:cs="Noto Sans Devanagari"/>
          <w:i/>
          <w:i/>
          <w:iCs/>
          <w:szCs w:val="24"/>
        </w:rPr>
      </w:pPr>
      <w:r>
        <w:rPr>
          <w:rFonts w:cs="Noto Sans Devanagari"/>
          <w:b w:val="false"/>
          <w:bCs w:val="false"/>
          <w:i w:val="false"/>
          <w:iCs w:val="false"/>
          <w:szCs w:val="24"/>
        </w:rPr>
        <w:t xml:space="preserve">Los </w:t>
      </w:r>
      <w:r>
        <w:rPr>
          <w:rStyle w:val="Strong"/>
          <w:rFonts w:cs="Noto Sans Devanagari"/>
          <w:b w:val="false"/>
          <w:bCs w:val="false"/>
          <w:i w:val="false"/>
          <w:iCs w:val="false"/>
          <w:szCs w:val="24"/>
        </w:rPr>
        <w:t>compuestos de alta densidad (NaAlH₄)</w:t>
      </w:r>
      <w:r>
        <w:rPr>
          <w:rFonts w:cs="Noto Sans Devanagari"/>
          <w:b w:val="false"/>
          <w:bCs w:val="false"/>
          <w:i w:val="false"/>
          <w:iCs w:val="false"/>
          <w:szCs w:val="24"/>
        </w:rPr>
        <w:t xml:space="preserve"> ofrecen capacidades volumétricas superiores, pero requieren estrictos controles térmicos para evitar descomposición.</w:t>
      </w:r>
    </w:p>
    <w:p>
      <w:pPr>
        <w:pStyle w:val="BodyText"/>
        <w:numPr>
          <w:ilvl w:val="0"/>
          <w:numId w:val="3"/>
        </w:numPr>
        <w:tabs>
          <w:tab w:val="clear" w:pos="708"/>
          <w:tab w:val="left" w:pos="0" w:leader="none"/>
        </w:tabs>
        <w:spacing w:lineRule="auto" w:line="240" w:before="120" w:after="120"/>
        <w:ind w:hanging="283" w:left="709"/>
        <w:rPr>
          <w:rFonts w:cs="Noto Sans Devanagari"/>
          <w:i/>
          <w:i/>
          <w:iCs/>
          <w:szCs w:val="24"/>
        </w:rPr>
      </w:pPr>
      <w:r>
        <w:rPr>
          <w:rFonts w:cs="Noto Sans Devanagari"/>
          <w:b w:val="false"/>
          <w:bCs w:val="false"/>
          <w:i w:val="false"/>
          <w:iCs w:val="false"/>
          <w:szCs w:val="24"/>
        </w:rPr>
        <w:t xml:space="preserve">Los </w:t>
      </w:r>
      <w:r>
        <w:rPr>
          <w:rStyle w:val="Strong"/>
          <w:rFonts w:cs="Noto Sans Devanagari"/>
          <w:b w:val="false"/>
          <w:bCs w:val="false"/>
          <w:i w:val="false"/>
          <w:iCs w:val="false"/>
          <w:szCs w:val="24"/>
        </w:rPr>
        <w:t>hidruros tipo AB5 (LaNi₅)</w:t>
      </w:r>
      <w:r>
        <w:rPr>
          <w:rFonts w:cs="Noto Sans Devanagari"/>
          <w:b w:val="false"/>
          <w:bCs w:val="false"/>
          <w:i w:val="false"/>
          <w:iCs w:val="false"/>
          <w:szCs w:val="24"/>
        </w:rPr>
        <w:t xml:space="preserve">, ampliamente estudiados, han mostrado que la </w:t>
      </w:r>
      <w:r>
        <w:rPr>
          <w:rStyle w:val="Strong"/>
          <w:rFonts w:cs="Noto Sans Devanagari"/>
          <w:b w:val="false"/>
          <w:bCs w:val="false"/>
          <w:i w:val="false"/>
          <w:iCs w:val="false"/>
          <w:szCs w:val="24"/>
        </w:rPr>
        <w:t>geometría del intercambiador</w:t>
      </w:r>
      <w:r>
        <w:rPr>
          <w:rFonts w:cs="Noto Sans Devanagari"/>
          <w:b w:val="false"/>
          <w:bCs w:val="false"/>
          <w:i w:val="false"/>
          <w:iCs w:val="false"/>
          <w:szCs w:val="24"/>
        </w:rPr>
        <w:t xml:space="preserve"> (p. ej. aletas radiales de cobre) es el factor dominante en la cinética.</w:t>
      </w:r>
    </w:p>
    <w:p>
      <w:pPr>
        <w:pStyle w:val="BodyText"/>
        <w:numPr>
          <w:ilvl w:val="0"/>
          <w:numId w:val="3"/>
        </w:numPr>
        <w:tabs>
          <w:tab w:val="clear" w:pos="708"/>
          <w:tab w:val="left" w:pos="0" w:leader="none"/>
        </w:tabs>
        <w:spacing w:lineRule="auto" w:line="240" w:before="120" w:after="120"/>
        <w:ind w:hanging="283" w:left="709"/>
        <w:rPr>
          <w:rFonts w:cs="Noto Sans Devanagari"/>
          <w:i/>
          <w:i/>
          <w:iCs/>
          <w:szCs w:val="24"/>
        </w:rPr>
      </w:pPr>
      <w:r>
        <w:rPr>
          <w:rFonts w:cs="Noto Sans Devanagari"/>
          <w:b w:val="false"/>
          <w:bCs w:val="false"/>
          <w:i w:val="false"/>
          <w:iCs w:val="false"/>
          <w:szCs w:val="24"/>
        </w:rPr>
        <w:t>Indian Inst of Technol Madras estudiaron el efecto grosor y perforaciones temperatura y velocidad del refrigerante, demostrando que el aumento y grosor de las aletas reduce el tiempo de carga.</w:t>
      </w:r>
      <w:r>
        <w:rPr>
          <w:rFonts w:cs="Noto Sans Devanagari"/>
          <w:b w:val="false"/>
          <w:bCs w:val="false"/>
          <w:i/>
          <w:iCs/>
          <w:sz w:val="20"/>
          <w:szCs w:val="20"/>
        </w:rPr>
        <w:t>[3]</w:t>
      </w:r>
    </w:p>
    <w:tbl>
      <w:tblPr>
        <w:tblW w:w="5000" w:type="pct"/>
        <w:jc w:val="left"/>
        <w:tblInd w:w="0" w:type="dxa"/>
        <w:tblLayout w:type="fixed"/>
        <w:tblCellMar>
          <w:top w:w="0" w:type="dxa"/>
          <w:left w:w="0" w:type="dxa"/>
          <w:bottom w:w="0" w:type="dxa"/>
          <w:right w:w="0" w:type="dxa"/>
        </w:tblCellMar>
      </w:tblPr>
      <w:tblGrid>
        <w:gridCol w:w="4419"/>
        <w:gridCol w:w="4419"/>
      </w:tblGrid>
      <w:tr>
        <w:trPr/>
        <w:tc>
          <w:tcPr>
            <w:tcW w:w="4419" w:type="dxa"/>
            <w:tcBorders/>
          </w:tcPr>
          <w:p>
            <w:pPr>
              <w:pStyle w:val="Contenidodelatabla"/>
              <w:keepNext w:val="true"/>
              <w:widowControl w:val="false"/>
              <w:suppressLineNumbers/>
              <w:spacing w:before="0" w:after="160"/>
              <w:rPr/>
            </w:pPr>
            <w:r>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2806065" cy="1278890"/>
                  <wp:effectExtent l="0" t="0" r="0" b="0"/>
                  <wp:wrapSquare wrapText="largest"/>
                  <wp:docPr id="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descr=""/>
                          <pic:cNvPicPr>
                            <a:picLocks noChangeAspect="1" noChangeArrowheads="1"/>
                          </pic:cNvPicPr>
                        </pic:nvPicPr>
                        <pic:blipFill>
                          <a:blip r:embed="rId3"/>
                          <a:stretch>
                            <a:fillRect/>
                          </a:stretch>
                        </pic:blipFill>
                        <pic:spPr bwMode="auto">
                          <a:xfrm>
                            <a:off x="0" y="0"/>
                            <a:ext cx="2806065" cy="1278890"/>
                          </a:xfrm>
                          <a:prstGeom prst="rect">
                            <a:avLst/>
                          </a:prstGeom>
                          <a:noFill/>
                        </pic:spPr>
                      </pic:pic>
                    </a:graphicData>
                  </a:graphic>
                </wp:anchor>
              </w:drawing>
            </w:r>
          </w:p>
        </w:tc>
        <w:tc>
          <w:tcPr>
            <w:tcW w:w="4419" w:type="dxa"/>
            <w:tcBorders/>
          </w:tcPr>
          <w:p>
            <w:pPr>
              <w:pStyle w:val="Contenidodelatabla"/>
              <w:widowControl w:val="false"/>
              <w:suppressLineNumbers/>
              <w:spacing w:before="0" w:after="160"/>
              <w:rPr/>
            </w:pPr>
            <w:r>
              <w:rPr/>
              <w:drawing>
                <wp:anchor behindDoc="0" distT="0" distB="0" distL="0" distR="0" simplePos="0" locked="0" layoutInCell="0" allowOverlap="1" relativeHeight="77">
                  <wp:simplePos x="0" y="0"/>
                  <wp:positionH relativeFrom="column">
                    <wp:align>center</wp:align>
                  </wp:positionH>
                  <wp:positionV relativeFrom="paragraph">
                    <wp:posOffset>635</wp:posOffset>
                  </wp:positionV>
                  <wp:extent cx="2806065" cy="1340485"/>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4"/>
                          <a:stretch>
                            <a:fillRect/>
                          </a:stretch>
                        </pic:blipFill>
                        <pic:spPr bwMode="auto">
                          <a:xfrm>
                            <a:off x="0" y="0"/>
                            <a:ext cx="2806065" cy="1340485"/>
                          </a:xfrm>
                          <a:prstGeom prst="rect">
                            <a:avLst/>
                          </a:prstGeom>
                          <a:noFill/>
                        </pic:spPr>
                      </pic:pic>
                    </a:graphicData>
                  </a:graphic>
                </wp:anchor>
              </w:drawing>
            </w:r>
          </w:p>
        </w:tc>
      </w:tr>
      <w:tr>
        <w:trPr/>
        <w:tc>
          <w:tcPr>
            <w:tcW w:w="4419" w:type="dxa"/>
            <w:tcBorders/>
          </w:tcPr>
          <w:p>
            <w:pPr>
              <w:pStyle w:val="Contenidodelatabla"/>
              <w:keepNext w:val="true"/>
              <w:widowControl w:val="false"/>
              <w:suppressLineNumbers/>
              <w:spacing w:before="0" w:after="160"/>
              <w:rPr/>
            </w:pPr>
            <w:r>
              <w:rPr/>
            </w:r>
          </w:p>
        </w:tc>
        <w:tc>
          <w:tcPr>
            <w:tcW w:w="4419" w:type="dxa"/>
            <w:tcBorders/>
          </w:tcPr>
          <w:p>
            <w:pPr>
              <w:pStyle w:val="Contenidodelatabla"/>
              <w:widowControl w:val="false"/>
              <w:suppressLineNumbers/>
              <w:spacing w:before="0" w:after="160"/>
              <w:rPr/>
            </w:pPr>
            <w:r>
              <w:rPr/>
            </w:r>
          </w:p>
        </w:tc>
      </w:tr>
    </w:tbl>
    <w:p>
      <w:pPr>
        <w:pStyle w:val="Tabla"/>
        <w:rPr/>
      </w:pPr>
      <w:r>
        <w:rPr/>
        <w:t xml:space="preserve">Tabla </w:t>
      </w:r>
      <w:r>
        <w:rPr/>
        <w:fldChar w:fldCharType="begin"/>
      </w:r>
      <w:r>
        <w:rPr/>
        <w:instrText xml:space="preserve"> SEQ Tabla \* ARABIC </w:instrText>
      </w:r>
      <w:r>
        <w:rPr/>
        <w:fldChar w:fldCharType="separate"/>
      </w:r>
      <w:r>
        <w:rPr/>
        <w:t>2</w:t>
      </w:r>
      <w:r>
        <w:rPr/>
        <w:fldChar w:fldCharType="end"/>
      </w:r>
      <w:r>
        <w:rPr/>
        <w:t>: Efectos del diseño del intercambiador de calor en el rendimiento de un dispositivo de almacenamiento de hidrógeno en estado sólido</w:t>
      </w:r>
    </w:p>
    <w:p>
      <w:pPr>
        <w:pStyle w:val="BodyText"/>
        <w:numPr>
          <w:ilvl w:val="0"/>
          <w:numId w:val="3"/>
        </w:numPr>
        <w:tabs>
          <w:tab w:val="clear" w:pos="708"/>
          <w:tab w:val="left" w:pos="0" w:leader="none"/>
        </w:tabs>
        <w:spacing w:lineRule="auto" w:line="240" w:before="120" w:after="120"/>
        <w:ind w:hanging="283" w:left="709"/>
        <w:rPr>
          <w:rFonts w:cs="Noto Sans Devanagari"/>
          <w:i/>
          <w:i/>
          <w:iCs/>
          <w:szCs w:val="24"/>
        </w:rPr>
      </w:pPr>
      <w:r>
        <w:rPr>
          <w:rFonts w:cs="Noto Sans Devanagari"/>
          <w:b w:val="false"/>
          <w:bCs w:val="false"/>
          <w:i w:val="false"/>
          <w:iCs w:val="false"/>
          <w:szCs w:val="24"/>
        </w:rPr>
        <w:t xml:space="preserve">Los </w:t>
      </w:r>
      <w:r>
        <w:rPr>
          <w:rStyle w:val="Strong"/>
          <w:rFonts w:cs="Noto Sans Devanagari"/>
          <w:b w:val="false"/>
          <w:bCs w:val="false"/>
          <w:i w:val="false"/>
          <w:iCs w:val="false"/>
          <w:szCs w:val="24"/>
        </w:rPr>
        <w:t>AB2 como (Mg₂Ni)</w:t>
      </w:r>
      <w:r>
        <w:rPr>
          <w:rFonts w:cs="Noto Sans Devanagari"/>
          <w:b w:val="false"/>
          <w:bCs w:val="false"/>
          <w:i w:val="false"/>
          <w:iCs w:val="false"/>
          <w:szCs w:val="24"/>
        </w:rPr>
        <w:t xml:space="preserve"> permiten integrar </w:t>
      </w:r>
      <w:r>
        <w:rPr>
          <w:rStyle w:val="Strong"/>
          <w:rFonts w:cs="Noto Sans Devanagari"/>
          <w:b w:val="false"/>
          <w:bCs w:val="false"/>
          <w:i w:val="false"/>
          <w:iCs w:val="false"/>
          <w:szCs w:val="24"/>
        </w:rPr>
        <w:t>PCM</w:t>
      </w:r>
      <w:r>
        <w:rPr>
          <w:rFonts w:cs="Noto Sans Devanagari"/>
          <w:b w:val="false"/>
          <w:bCs w:val="false"/>
          <w:i w:val="false"/>
          <w:iCs w:val="false"/>
          <w:szCs w:val="24"/>
        </w:rPr>
        <w:t xml:space="preserve"> para aprovechar el calor de reacción, aunque introducen un compromiso entre rapidez y almacenamiento térmico.</w:t>
      </w:r>
      <w:r>
        <w:rPr>
          <w:rFonts w:cs="Noto Sans Devanagari"/>
          <w:b w:val="false"/>
          <w:bCs w:val="false"/>
          <w:i/>
          <w:iCs/>
          <w:szCs w:val="24"/>
        </w:rPr>
        <w:t xml:space="preserve"> </w:t>
      </w:r>
      <w:r>
        <w:rPr>
          <w:rFonts w:cs="Noto Sans Devanagari"/>
          <w:b w:val="false"/>
          <w:bCs w:val="false"/>
          <w:i/>
          <w:iCs/>
          <w:szCs w:val="24"/>
        </w:rPr>
        <w:t>[</w:t>
      </w:r>
      <w:r>
        <w:rPr>
          <w:rFonts w:cs="Noto Sans Devanagari"/>
          <w:b w:val="false"/>
          <w:bCs w:val="false"/>
          <w:i/>
          <w:iCs/>
          <w:szCs w:val="24"/>
        </w:rPr>
        <w:t>4</w:t>
      </w:r>
      <w:r>
        <w:rPr>
          <w:rFonts w:cs="Noto Sans Devanagari"/>
          <w:b w:val="false"/>
          <w:bCs w:val="false"/>
          <w:i/>
          <w:iCs/>
          <w:szCs w:val="24"/>
        </w:rPr>
        <w:t>]</w:t>
      </w:r>
    </w:p>
    <w:p>
      <w:pPr>
        <w:pStyle w:val="Normal"/>
        <w:numPr>
          <w:ilvl w:val="0"/>
          <w:numId w:val="3"/>
        </w:numPr>
        <w:tabs>
          <w:tab w:val="clear" w:pos="708"/>
          <w:tab w:val="left" w:pos="0" w:leader="none"/>
        </w:tabs>
        <w:spacing w:lineRule="auto" w:line="240" w:before="120" w:after="120"/>
        <w:ind w:hanging="283" w:left="709"/>
        <w:rPr>
          <w:rFonts w:cs="Noto Sans Devanagari"/>
          <w:i/>
          <w:i/>
          <w:iCs/>
          <w:szCs w:val="24"/>
        </w:rPr>
      </w:pPr>
      <w:bookmarkStart w:id="8" w:name="docs-internal-guid-31a632ed-7fff-eafa-de"/>
      <w:bookmarkEnd w:id="8"/>
      <w:r>
        <w:rPr/>
        <w:drawing>
          <wp:inline distT="0" distB="0" distL="0" distR="0">
            <wp:extent cx="1785620" cy="2687955"/>
            <wp:effectExtent l="0" t="0" r="0" b="0"/>
            <wp:docPr id="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pic:cNvPicPr>
                      <a:picLocks noChangeAspect="1" noChangeArrowheads="1"/>
                    </pic:cNvPicPr>
                  </pic:nvPicPr>
                  <pic:blipFill>
                    <a:blip r:embed="rId5"/>
                    <a:stretch>
                      <a:fillRect/>
                    </a:stretch>
                  </pic:blipFill>
                  <pic:spPr bwMode="auto">
                    <a:xfrm>
                      <a:off x="0" y="0"/>
                      <a:ext cx="1785620" cy="2687955"/>
                    </a:xfrm>
                    <a:prstGeom prst="rect">
                      <a:avLst/>
                    </a:prstGeom>
                    <a:noFill/>
                  </pic:spPr>
                </pic:pic>
              </a:graphicData>
            </a:graphic>
          </wp:inline>
        </w:drawing>
      </w:r>
      <w:r>
        <w:rPr/>
        <w:br/>
      </w:r>
      <w:r>
        <w:rPr>
          <w:i/>
          <w:iCs/>
          <w:color w:val="000000"/>
          <w:lang w:val="es-CO"/>
        </w:rPr>
        <w:t xml:space="preserve">Figura </w:t>
      </w:r>
      <w:r>
        <w:rPr>
          <w:i/>
          <w:iCs/>
          <w:color w:val="000000"/>
          <w:lang w:val="es-CO"/>
        </w:rPr>
        <w:t>2 Impacto del uso de una tubería de fluido de transferencia de calor en un depósito de material de cambio de fase de hidruro metálico</w:t>
      </w:r>
    </w:p>
    <w:p>
      <w:pPr>
        <w:pStyle w:val="Normal"/>
        <w:numPr>
          <w:ilvl w:val="0"/>
          <w:numId w:val="3"/>
        </w:numPr>
        <w:tabs>
          <w:tab w:val="clear" w:pos="708"/>
          <w:tab w:val="left" w:pos="0" w:leader="none"/>
        </w:tabs>
        <w:spacing w:lineRule="auto" w:line="240" w:before="120" w:after="120"/>
        <w:ind w:hanging="283" w:left="709"/>
        <w:rPr>
          <w:rFonts w:cs="Noto Sans Devanagari"/>
          <w:i/>
          <w:i/>
          <w:iCs/>
          <w:szCs w:val="24"/>
        </w:rPr>
      </w:pPr>
      <w:r>
        <w:rPr>
          <w:rFonts w:cs="Noto Sans Devanagari"/>
          <w:b w:val="false"/>
          <w:bCs w:val="false"/>
          <w:i w:val="false"/>
          <w:iCs w:val="false"/>
          <w:szCs w:val="24"/>
        </w:rPr>
        <w:t xml:space="preserve">Los </w:t>
      </w:r>
      <w:r>
        <w:rPr>
          <w:rStyle w:val="Strong"/>
          <w:rFonts w:cs="Noto Sans Devanagari"/>
          <w:b w:val="false"/>
          <w:bCs w:val="false"/>
          <w:i w:val="false"/>
          <w:iCs w:val="false"/>
          <w:szCs w:val="24"/>
        </w:rPr>
        <w:t>hidruros AB como (TiFe)</w:t>
      </w:r>
      <w:r>
        <w:rPr>
          <w:rFonts w:cs="Noto Sans Devanagari"/>
          <w:b w:val="false"/>
          <w:bCs w:val="false"/>
          <w:i w:val="false"/>
          <w:iCs w:val="false"/>
          <w:szCs w:val="24"/>
        </w:rPr>
        <w:t xml:space="preserve"> resultan ideales para sistemas estacionarios de bajo costo y condiciones suaves, aunque requieren procesos largos de activación.</w:t>
      </w:r>
    </w:p>
    <w:p>
      <w:pPr>
        <w:pStyle w:val="BodyText"/>
        <w:spacing w:lineRule="auto" w:line="240" w:before="120" w:after="120"/>
        <w:rPr/>
      </w:pPr>
      <w:r>
        <w:rPr>
          <w:rFonts w:cs="Noto Sans Devanagari"/>
          <w:b w:val="false"/>
          <w:bCs w:val="false"/>
          <w:i w:val="false"/>
          <w:iCs w:val="false"/>
          <w:szCs w:val="24"/>
        </w:rPr>
        <w:t xml:space="preserve">Este marco comparativo permitió seleccionar al </w:t>
      </w:r>
      <w:r>
        <w:rPr>
          <w:rStyle w:val="Strong"/>
          <w:rFonts w:cs="Noto Sans Devanagari"/>
          <w:b w:val="false"/>
          <w:bCs w:val="false"/>
          <w:i w:val="false"/>
          <w:iCs w:val="false"/>
          <w:szCs w:val="24"/>
        </w:rPr>
        <w:t xml:space="preserve">TiFe </w:t>
      </w:r>
      <w:r>
        <w:rPr>
          <w:rStyle w:val="Strong"/>
          <w:rFonts w:cs="Noto Sans Devanagari"/>
          <w:b w:val="false"/>
          <w:bCs w:val="false"/>
          <w:i w:val="false"/>
          <w:iCs w:val="false"/>
          <w:szCs w:val="24"/>
        </w:rPr>
        <w:t>(AB)</w:t>
      </w:r>
      <w:r>
        <w:rPr>
          <w:rStyle w:val="Strong"/>
          <w:rFonts w:cs="Noto Sans Devanagari"/>
          <w:b w:val="false"/>
          <w:bCs w:val="false"/>
          <w:i w:val="false"/>
          <w:iCs w:val="false"/>
          <w:szCs w:val="24"/>
        </w:rPr>
        <w:t xml:space="preserve"> como material candidato</w:t>
      </w:r>
      <w:r>
        <w:rPr>
          <w:rFonts w:cs="Noto Sans Devanagari"/>
          <w:b w:val="false"/>
          <w:bCs w:val="false"/>
          <w:i w:val="false"/>
          <w:iCs w:val="false"/>
          <w:szCs w:val="24"/>
        </w:rPr>
        <w:t xml:space="preserve"> y al </w:t>
      </w:r>
      <w:r>
        <w:rPr>
          <w:rStyle w:val="Strong"/>
          <w:rFonts w:cs="Noto Sans Devanagari"/>
          <w:b w:val="false"/>
          <w:bCs w:val="false"/>
          <w:i w:val="false"/>
          <w:iCs w:val="false"/>
          <w:szCs w:val="24"/>
        </w:rPr>
        <w:t>diseño con tuberías internas</w:t>
      </w:r>
      <w:r>
        <w:rPr>
          <w:rFonts w:cs="Noto Sans Devanagari"/>
          <w:b w:val="false"/>
          <w:bCs w:val="false"/>
          <w:i w:val="false"/>
          <w:iCs w:val="false"/>
          <w:szCs w:val="24"/>
        </w:rPr>
        <w:t xml:space="preserve"> como estrategia principal de transferencia de calor en el MHR-AB.</w:t>
      </w:r>
    </w:p>
    <w:p>
      <w:pPr>
        <w:pStyle w:val="Heading3"/>
        <w:ind w:hanging="0" w:left="0"/>
        <w:rPr>
          <w:b/>
          <w:bCs/>
          <w:color w:val="000000"/>
        </w:rPr>
      </w:pPr>
      <w:bookmarkStart w:id="9" w:name="__RefHeading___Toc3079_3807646603"/>
      <w:bookmarkEnd w:id="9"/>
      <w:r>
        <w:rPr>
          <w:b/>
          <w:bCs/>
          <w:color w:val="000000"/>
        </w:rPr>
        <w:t>Fase I: Definición de prioridades y selección de material</w:t>
      </w:r>
    </w:p>
    <w:p>
      <w:pPr>
        <w:pStyle w:val="BodyText"/>
        <w:numPr>
          <w:ilvl w:val="0"/>
          <w:numId w:val="0"/>
        </w:numPr>
        <w:ind w:hanging="0" w:left="709"/>
        <w:rPr>
          <w:color w:val="000000"/>
        </w:rPr>
      </w:pPr>
      <w:r>
        <w:rPr>
          <w:rStyle w:val="Strong"/>
          <w:color w:val="000000"/>
        </w:rPr>
        <w:t>Normativa.</w:t>
      </w:r>
      <w:r>
        <w:rPr>
          <w:b w:val="false"/>
          <w:bCs w:val="false"/>
          <w:color w:val="000000"/>
        </w:rPr>
        <w:t xml:space="preserve"> El diseño se ajustará a la </w:t>
      </w:r>
      <w:r>
        <w:rPr>
          <w:rStyle w:val="Strong"/>
          <w:b w:val="false"/>
          <w:bCs w:val="false"/>
          <w:color w:val="000000"/>
        </w:rPr>
        <w:t>ASME Sección VIII, División I</w:t>
      </w:r>
      <w:r>
        <w:rPr>
          <w:b w:val="false"/>
          <w:bCs w:val="false"/>
          <w:color w:val="000000"/>
        </w:rPr>
        <w:t xml:space="preserve">, utilizando aceros comerciales (al carbono o inoxidables) en lugar de compuestos de fibra de carbono, aprovechando las </w:t>
      </w:r>
      <w:r>
        <w:rPr>
          <w:rStyle w:val="Strong"/>
          <w:b w:val="false"/>
          <w:bCs w:val="false"/>
          <w:color w:val="000000"/>
        </w:rPr>
        <w:t>presiones de operación moderadas</w:t>
      </w:r>
      <w:r>
        <w:rPr>
          <w:b w:val="false"/>
          <w:bCs w:val="false"/>
          <w:color w:val="000000"/>
        </w:rPr>
        <w:t xml:space="preserve"> (~1.0 MPa).</w:t>
      </w:r>
    </w:p>
    <w:p>
      <w:pPr>
        <w:pStyle w:val="BodyText"/>
        <w:numPr>
          <w:ilvl w:val="0"/>
          <w:numId w:val="4"/>
        </w:numPr>
        <w:tabs>
          <w:tab w:val="clear" w:pos="708"/>
          <w:tab w:val="left" w:pos="0" w:leader="none"/>
        </w:tabs>
        <w:ind w:hanging="283" w:left="720"/>
        <w:rPr>
          <w:color w:val="000000"/>
        </w:rPr>
      </w:pPr>
      <w:r>
        <w:rPr>
          <w:rStyle w:val="Strong"/>
          <w:color w:val="000000"/>
        </w:rPr>
        <w:t>Selección de hidruro metálico.</w:t>
      </w:r>
      <w:r>
        <w:rPr>
          <w:color w:val="000000"/>
        </w:rPr>
        <w:t xml:space="preserve"> </w:t>
      </w:r>
      <w:r>
        <w:rPr>
          <w:b w:val="false"/>
          <w:bCs w:val="false"/>
          <w:color w:val="000000"/>
        </w:rPr>
        <w:t xml:space="preserve">Se prioriza el uso de aleaciones tipo </w:t>
      </w:r>
      <w:r>
        <w:rPr>
          <w:rStyle w:val="Strong"/>
          <w:b w:val="false"/>
          <w:bCs w:val="false"/>
          <w:color w:val="000000"/>
        </w:rPr>
        <w:t>AB</w:t>
      </w:r>
      <w:r>
        <w:rPr>
          <w:b w:val="false"/>
          <w:bCs w:val="false"/>
          <w:color w:val="000000"/>
        </w:rPr>
        <w:t xml:space="preserve"> (ej. TiFe), que presentan buena estabilidad en condiciones suaves (60–80 °C).</w:t>
      </w:r>
      <w:r>
        <w:rPr>
          <w:b w:val="false"/>
          <w:bCs w:val="false"/>
          <w:color w:val="000000"/>
        </w:rPr>
        <w:t>[5]</w:t>
      </w:r>
    </w:p>
    <w:p>
      <w:pPr>
        <w:pStyle w:val="BodyText"/>
        <w:numPr>
          <w:ilvl w:val="0"/>
          <w:numId w:val="0"/>
        </w:numPr>
        <w:tabs>
          <w:tab w:val="clear" w:pos="708"/>
          <w:tab w:val="left" w:pos="0" w:leader="none"/>
        </w:tabs>
        <w:ind w:hanging="0" w:left="720"/>
        <w:rPr>
          <w:i/>
          <w:i/>
          <w:iCs/>
          <w:color w:val="000000"/>
        </w:rPr>
      </w:pPr>
      <w:r>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5334635" cy="2362200"/>
            <wp:effectExtent l="0" t="0" r="0" b="0"/>
            <wp:wrapTopAndBottom/>
            <wp:docPr id="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descr=""/>
                    <pic:cNvPicPr>
                      <a:picLocks noChangeAspect="1" noChangeArrowheads="1"/>
                    </pic:cNvPicPr>
                  </pic:nvPicPr>
                  <pic:blipFill>
                    <a:blip r:embed="rId6"/>
                    <a:stretch>
                      <a:fillRect/>
                    </a:stretch>
                  </pic:blipFill>
                  <pic:spPr bwMode="auto">
                    <a:xfrm>
                      <a:off x="0" y="0"/>
                      <a:ext cx="5334635" cy="2362200"/>
                    </a:xfrm>
                    <a:prstGeom prst="rect">
                      <a:avLst/>
                    </a:prstGeom>
                    <a:noFill/>
                  </pic:spPr>
                </pic:pic>
              </a:graphicData>
            </a:graphic>
          </wp:anchor>
        </w:drawing>
      </w:r>
      <w:r>
        <w:rPr>
          <w:i/>
          <w:iCs/>
          <w:color w:val="000000"/>
        </w:rPr>
        <w:t xml:space="preserve">figura 3: </w:t>
      </w:r>
      <w:r>
        <w:rPr>
          <w:i/>
          <w:iCs/>
          <w:color w:val="000000"/>
        </w:rPr>
        <w:t>Reactor de hidruros metálicos</w:t>
      </w:r>
      <w:r>
        <w:rPr>
          <w:i/>
          <w:iCs/>
          <w:color w:val="000000"/>
        </w:rPr>
        <w:t xml:space="preserve"> aleación de TiFe a escala de laboratorio en condiciones suaves para el almacenamiento estacionario de hidrógeno a bajo costo</w:t>
      </w:r>
    </w:p>
    <w:p>
      <w:pPr>
        <w:pStyle w:val="BodyText"/>
        <w:numPr>
          <w:ilvl w:val="0"/>
          <w:numId w:val="5"/>
        </w:numPr>
        <w:tabs>
          <w:tab w:val="clear" w:pos="708"/>
          <w:tab w:val="left" w:pos="0" w:leader="none"/>
        </w:tabs>
        <w:ind w:hanging="283" w:left="720"/>
        <w:rPr>
          <w:color w:val="000000"/>
        </w:rPr>
      </w:pPr>
      <w:r>
        <w:rPr>
          <w:rStyle w:val="Strong"/>
          <w:color w:val="000000"/>
        </w:rPr>
        <w:t>Proceso de activación crítico.</w:t>
      </w:r>
      <w:r>
        <w:rPr>
          <w:color w:val="000000"/>
        </w:rPr>
        <w:t xml:space="preserve"> El diseño debe facilitar el proceso inicial de activación del hidruro, el cual puede requerir cientos de horas (ej. 284 h en un prototipo de 55 kg [5]), lo que implica estrategias térmicas y de presión bien controladas.</w:t>
      </w:r>
    </w:p>
    <w:p>
      <w:pPr>
        <w:pStyle w:val="Heading3"/>
        <w:ind w:hanging="0" w:left="0"/>
        <w:rPr>
          <w:b/>
          <w:bCs/>
        </w:rPr>
      </w:pPr>
      <w:bookmarkStart w:id="10" w:name="__RefHeading___Toc3913_3282141063"/>
      <w:bookmarkEnd w:id="10"/>
      <w:r>
        <w:rPr>
          <w:rFonts w:eastAsia="Calibri" w:cs="" w:cstheme="minorBidi" w:eastAsiaTheme="minorHAnsi"/>
          <w:b/>
          <w:bCs/>
          <w:color w:val="000000"/>
        </w:rPr>
        <w:t xml:space="preserve">Fase II: Diseño Conceptual y Esqueletización </w:t>
      </w:r>
    </w:p>
    <w:p>
      <w:pPr>
        <w:pStyle w:val="BodyText"/>
        <w:rPr>
          <w:rFonts w:eastAsia="Calibri" w:cs="" w:cstheme="minorBidi" w:eastAsiaTheme="minorHAnsi"/>
          <w:color w:val="000000"/>
          <w:highlight w:val="none"/>
          <w:shd w:fill="FFFF00" w:val="clear"/>
        </w:rPr>
      </w:pPr>
      <w:r>
        <w:rPr>
          <w:rStyle w:val="Strong"/>
          <w:rFonts w:eastAsia="Calibri" w:cs="" w:cstheme="minorBidi" w:eastAsiaTheme="minorHAnsi"/>
          <w:b w:val="false"/>
          <w:bCs w:val="false"/>
          <w:color w:val="000000"/>
          <w:shd w:fill="auto" w:val="clear"/>
        </w:rPr>
        <w:t>Geometría y material.</w:t>
      </w:r>
      <w:r>
        <w:rPr>
          <w:rFonts w:eastAsia="Calibri" w:cs="" w:cstheme="minorBidi" w:eastAsiaTheme="minorHAnsi"/>
          <w:b w:val="false"/>
          <w:bCs w:val="false"/>
          <w:color w:val="000000"/>
          <w:shd w:fill="auto" w:val="clear"/>
        </w:rPr>
        <w:t xml:space="preserve"> Se propone un reactor </w:t>
      </w:r>
      <w:r>
        <w:rPr>
          <w:rStyle w:val="Strong"/>
          <w:rFonts w:eastAsia="Calibri" w:cs="" w:cstheme="minorBidi" w:eastAsiaTheme="minorHAnsi"/>
          <w:b w:val="false"/>
          <w:bCs w:val="false"/>
          <w:color w:val="000000"/>
          <w:shd w:fill="auto" w:val="clear"/>
        </w:rPr>
        <w:t>cilíndrico de TiFe</w:t>
      </w:r>
      <w:r>
        <w:rPr>
          <w:rFonts w:eastAsia="Calibri" w:cs="" w:cstheme="minorBidi" w:eastAsiaTheme="minorHAnsi"/>
          <w:b w:val="false"/>
          <w:bCs w:val="false"/>
          <w:color w:val="000000"/>
          <w:shd w:fill="auto" w:val="clear"/>
        </w:rPr>
        <w:t xml:space="preserve"> con sistema de tuberías internas para circulación de un </w:t>
      </w:r>
      <w:r>
        <w:rPr>
          <w:rStyle w:val="Strong"/>
          <w:rFonts w:eastAsia="Calibri" w:cs="" w:cstheme="minorBidi" w:eastAsiaTheme="minorHAnsi"/>
          <w:b w:val="false"/>
          <w:bCs w:val="false"/>
          <w:color w:val="000000"/>
          <w:shd w:fill="auto" w:val="clear"/>
        </w:rPr>
        <w:t>Fluido de Transferencia de Calor (HTF)</w:t>
      </w:r>
      <w:r>
        <w:rPr>
          <w:rFonts w:eastAsia="Calibri" w:cs="" w:cstheme="minorBidi" w:eastAsiaTheme="minorHAnsi"/>
          <w:b w:val="false"/>
          <w:bCs w:val="false"/>
          <w:color w:val="000000"/>
          <w:shd w:fill="auto" w:val="clear"/>
        </w:rPr>
        <w:t xml:space="preserve">, como salmuera o glicol, lo que representa una solución </w:t>
      </w:r>
      <w:r>
        <w:rPr>
          <w:rStyle w:val="Strong"/>
          <w:rFonts w:eastAsia="Calibri" w:cs="" w:cstheme="minorBidi" w:eastAsiaTheme="minorHAnsi"/>
          <w:b w:val="false"/>
          <w:bCs w:val="false"/>
          <w:color w:val="000000"/>
          <w:shd w:fill="auto" w:val="clear"/>
        </w:rPr>
        <w:t>eficiente y de bajo costo</w:t>
      </w:r>
      <w:r>
        <w:rPr>
          <w:rFonts w:eastAsia="Calibri" w:cs="" w:cstheme="minorBidi" w:eastAsiaTheme="minorHAnsi"/>
          <w:b w:val="false"/>
          <w:bCs w:val="false"/>
          <w:color w:val="000000"/>
          <w:shd w:fill="auto" w:val="clear"/>
        </w:rPr>
        <w:t xml:space="preserve"> [1].</w:t>
      </w:r>
    </w:p>
    <w:p>
      <w:pPr>
        <w:pStyle w:val="BodyText"/>
        <w:numPr>
          <w:ilvl w:val="0"/>
          <w:numId w:val="6"/>
        </w:numPr>
        <w:tabs>
          <w:tab w:val="clear" w:pos="708"/>
          <w:tab w:val="left" w:pos="0" w:leader="none"/>
        </w:tabs>
        <w:spacing w:lineRule="auto" w:line="240" w:before="0" w:after="160"/>
        <w:ind w:hanging="283" w:left="720"/>
        <w:rPr/>
      </w:pPr>
      <w:r>
        <w:rPr>
          <w:rStyle w:val="Strong"/>
          <w:rFonts w:eastAsia="Calibri" w:cs="" w:cstheme="minorBidi" w:eastAsiaTheme="minorHAnsi"/>
          <w:b w:val="false"/>
          <w:bCs w:val="false"/>
          <w:color w:val="000000"/>
          <w:shd w:fill="auto" w:val="clear"/>
        </w:rPr>
        <w:t>Intercambio de calor.</w:t>
      </w:r>
      <w:r>
        <w:rPr>
          <w:rFonts w:eastAsia="Calibri" w:cs="" w:cstheme="minorBidi" w:eastAsiaTheme="minorHAnsi"/>
          <w:b w:val="false"/>
          <w:bCs w:val="false"/>
          <w:color w:val="000000"/>
          <w:shd w:fill="auto" w:val="clear"/>
        </w:rPr>
        <w:t xml:space="preserve"> Este es el aspecto más crítico del diseño. Se consideran distintas estrategias, matemático bidimensional validado con resultados experimentales. El estudio evalúa el impacto de la masa térmica de la pared del tanque y compara distintos diseños para mejorar la transferencia de calor, ya que esta es la principal limitación del proceso de absorción de hidrógeno. Se concluye que las aletas externas y los tubos internos son los diseños más efectivos para mejorar el almacenamiento</w:t>
      </w:r>
      <w:r>
        <w:rPr>
          <w:rFonts w:ascii="Droid Sans Mono;monospace;monospace" w:hAnsi="Droid Sans Mono;monospace;monospace"/>
          <w:b w:val="false"/>
          <w:bCs w:val="false"/>
          <w:color w:val="000000"/>
          <w:sz w:val="21"/>
          <w:shd w:fill="auto" w:val="clear"/>
        </w:rPr>
        <w:t>.</w:t>
      </w:r>
      <w:r>
        <w:rPr>
          <w:rFonts w:ascii="Droid Sans Mono;monospace;monospace" w:hAnsi="Droid Sans Mono;monospace;monospace"/>
          <w:b w:val="false"/>
          <w:bCs w:val="false"/>
          <w:color w:val="000000"/>
          <w:sz w:val="21"/>
          <w:shd w:fill="auto" w:val="clear"/>
        </w:rPr>
        <w:t>[6]</w:t>
      </w:r>
    </w:p>
    <w:p>
      <w:pPr>
        <w:pStyle w:val="BodyText"/>
        <w:numPr>
          <w:ilvl w:val="0"/>
          <w:numId w:val="6"/>
        </w:numPr>
        <w:tabs>
          <w:tab w:val="clear" w:pos="708"/>
          <w:tab w:val="left" w:pos="0" w:leader="none"/>
        </w:tabs>
        <w:spacing w:lineRule="auto" w:line="240" w:before="0" w:after="160"/>
        <w:ind w:hanging="283" w:left="720"/>
        <w:rPr>
          <w:rFonts w:eastAsia="Calibri" w:cs="" w:cstheme="minorBidi" w:eastAsiaTheme="minorHAnsi"/>
          <w:color w:val="000000"/>
        </w:rPr>
      </w:pPr>
      <w:r>
        <w:drawing>
          <wp:anchor behindDoc="0" distT="0" distB="0" distL="0" distR="0" simplePos="0" locked="0" layoutInCell="0" allowOverlap="1" relativeHeight="75">
            <wp:simplePos x="0" y="0"/>
            <wp:positionH relativeFrom="column">
              <wp:posOffset>2025650</wp:posOffset>
            </wp:positionH>
            <wp:positionV relativeFrom="paragraph">
              <wp:posOffset>-29210</wp:posOffset>
            </wp:positionV>
            <wp:extent cx="1960880" cy="2718435"/>
            <wp:effectExtent l="0" t="0" r="0" b="0"/>
            <wp:wrapTopAndBottom/>
            <wp:docPr id="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7" descr=""/>
                    <pic:cNvPicPr>
                      <a:picLocks noChangeAspect="1" noChangeArrowheads="1"/>
                    </pic:cNvPicPr>
                  </pic:nvPicPr>
                  <pic:blipFill>
                    <a:blip r:embed="rId7"/>
                    <a:stretch>
                      <a:fillRect/>
                    </a:stretch>
                  </pic:blipFill>
                  <pic:spPr bwMode="auto">
                    <a:xfrm>
                      <a:off x="0" y="0"/>
                      <a:ext cx="1960880" cy="2718435"/>
                    </a:xfrm>
                    <a:prstGeom prst="rect">
                      <a:avLst/>
                    </a:prstGeom>
                    <a:noFill/>
                  </pic:spPr>
                </pic:pic>
              </a:graphicData>
            </a:graphic>
          </wp:anchor>
        </w:drawing>
      </w:r>
      <w:r>
        <w:rPr>
          <w:rStyle w:val="Strong"/>
          <w:rFonts w:eastAsia="Calibri" w:cs="" w:cstheme="minorBidi" w:eastAsiaTheme="minorHAnsi"/>
          <w:b/>
          <w:bCs/>
          <w:color w:val="000000"/>
          <w:shd w:fill="auto" w:val="clear"/>
        </w:rPr>
        <w:t>Tubo recto:</w:t>
      </w:r>
      <w:r>
        <w:rPr>
          <w:rFonts w:eastAsia="Calibri" w:cs="" w:cstheme="minorBidi" w:eastAsiaTheme="minorHAnsi"/>
          <w:b w:val="false"/>
          <w:bCs w:val="false"/>
          <w:color w:val="000000"/>
        </w:rPr>
        <w:t>Es la configuración más simple y utilizada en prototipos iniciales.Permite una transferencia térmica limitada y presenta zonas muertas en el lecho de hidruro, tambien es aceptable para escalas pequeñas, pero ineficiente en aplicaciones de gran volumen.</w:t>
      </w:r>
    </w:p>
    <w:p>
      <w:pPr>
        <w:pStyle w:val="BodyText"/>
        <w:numPr>
          <w:ilvl w:val="0"/>
          <w:numId w:val="7"/>
        </w:numPr>
        <w:tabs>
          <w:tab w:val="clear" w:pos="708"/>
          <w:tab w:val="left" w:pos="0" w:leader="none"/>
        </w:tabs>
        <w:spacing w:lineRule="auto" w:line="240" w:before="0" w:after="160"/>
        <w:ind w:hanging="283" w:left="709"/>
        <w:rPr>
          <w:rFonts w:eastAsia="Calibri" w:cs="" w:cstheme="minorBidi" w:eastAsiaTheme="minorHAnsi"/>
          <w:color w:val="000000"/>
        </w:rPr>
      </w:pPr>
      <w:r>
        <w:rPr>
          <w:rStyle w:val="Strong"/>
          <w:rFonts w:eastAsia="Calibri" w:cs="" w:cstheme="minorBidi" w:eastAsiaTheme="minorHAnsi"/>
          <w:b/>
          <w:bCs/>
          <w:color w:val="000000"/>
        </w:rPr>
        <w:t>Serpentín helicoidal</w:t>
      </w:r>
      <w:r>
        <w:rPr>
          <w:rStyle w:val="Strong"/>
          <w:rFonts w:eastAsia="Calibri" w:cs="" w:cstheme="minorBidi" w:eastAsiaTheme="minorHAnsi"/>
          <w:b w:val="false"/>
          <w:bCs w:val="false"/>
          <w:color w:val="000000"/>
        </w:rPr>
        <w:t>:</w:t>
      </w:r>
      <w:r>
        <w:rPr>
          <w:rFonts w:eastAsia="Calibri" w:cs="" w:cstheme="minorBidi" w:eastAsiaTheme="minorHAnsi"/>
          <w:b w:val="false"/>
          <w:bCs w:val="false"/>
          <w:color w:val="000000"/>
        </w:rPr>
        <w:t xml:space="preserve">Genera </w:t>
      </w:r>
      <w:r>
        <w:rPr>
          <w:rStyle w:val="Strong"/>
          <w:rFonts w:eastAsia="Calibri" w:cs="" w:cstheme="minorBidi" w:eastAsiaTheme="minorHAnsi"/>
          <w:b w:val="false"/>
          <w:bCs w:val="false"/>
          <w:color w:val="000000"/>
        </w:rPr>
        <w:t>recirculación secundaria del fluido de transferencia de calor (HTF)</w:t>
      </w:r>
      <w:r>
        <w:rPr>
          <w:rFonts w:eastAsia="Calibri" w:cs="" w:cstheme="minorBidi" w:eastAsiaTheme="minorHAnsi"/>
          <w:b w:val="false"/>
          <w:bCs w:val="false"/>
          <w:color w:val="000000"/>
        </w:rPr>
        <w:t>.Mejora la homogeneidad de la temperatura en el lecho, reduciendo los gradientes térmicos.Estudios [3] muestran que reduce significativamente el tiempo de carga respecto al tubo recto.</w:t>
      </w:r>
    </w:p>
    <w:p>
      <w:pPr>
        <w:pStyle w:val="BodyText"/>
        <w:numPr>
          <w:ilvl w:val="0"/>
          <w:numId w:val="7"/>
        </w:numPr>
        <w:tabs>
          <w:tab w:val="clear" w:pos="708"/>
          <w:tab w:val="left" w:pos="0" w:leader="none"/>
        </w:tabs>
        <w:spacing w:lineRule="auto" w:line="240" w:before="0" w:after="160"/>
        <w:ind w:hanging="283" w:left="709"/>
        <w:rPr>
          <w:rFonts w:eastAsia="Calibri" w:cs="" w:cstheme="minorBidi" w:eastAsiaTheme="minorHAnsi"/>
          <w:color w:val="000000"/>
        </w:rPr>
      </w:pPr>
      <w:r>
        <w:rPr>
          <w:rStyle w:val="Strong"/>
          <w:rFonts w:eastAsia="Calibri" w:cs="" w:cstheme="minorBidi" w:eastAsiaTheme="minorHAnsi"/>
          <w:b/>
          <w:bCs/>
          <w:color w:val="000000"/>
        </w:rPr>
        <w:t>Aletas radiales (inserciones metálicas):</w:t>
      </w:r>
      <w:r>
        <w:rPr>
          <w:rFonts w:eastAsia="Calibri" w:cs="" w:cstheme="minorBidi" w:eastAsiaTheme="minorHAnsi"/>
          <w:b w:val="false"/>
          <w:bCs w:val="false"/>
          <w:color w:val="000000"/>
        </w:rPr>
        <w:t xml:space="preserve">Incrementan el área superficial de contacto entre el hidruro y el HTF.El número, grosor y separación de las aletas son parámetros críticos para optimizar la cinética.Singh et al. [3] demostraron que la variación de la geometría de aletas puede reducir los tiempos de carga/descarga hasta en un </w:t>
      </w:r>
      <w:r>
        <w:rPr>
          <w:rStyle w:val="Strong"/>
          <w:rFonts w:eastAsia="Calibri" w:cs="" w:cstheme="minorBidi" w:eastAsiaTheme="minorHAnsi"/>
          <w:b w:val="false"/>
          <w:bCs w:val="false"/>
          <w:color w:val="000000"/>
        </w:rPr>
        <w:t>40–50%</w:t>
      </w:r>
      <w:r>
        <w:rPr>
          <w:rFonts w:eastAsia="Calibri" w:cs="" w:cstheme="minorBidi" w:eastAsiaTheme="minorHAnsi"/>
          <w:b w:val="false"/>
          <w:bCs w:val="false"/>
          <w:color w:val="000000"/>
        </w:rPr>
        <w:t>.</w:t>
      </w:r>
    </w:p>
    <w:p>
      <w:pPr>
        <w:pStyle w:val="BodyText"/>
        <w:numPr>
          <w:ilvl w:val="0"/>
          <w:numId w:val="7"/>
        </w:numPr>
        <w:tabs>
          <w:tab w:val="clear" w:pos="708"/>
          <w:tab w:val="left" w:pos="0" w:leader="none"/>
        </w:tabs>
        <w:spacing w:lineRule="auto" w:line="240" w:before="0" w:after="160"/>
        <w:ind w:hanging="283" w:left="709"/>
        <w:rPr>
          <w:rFonts w:eastAsia="Calibri" w:cs="" w:cstheme="minorBidi" w:eastAsiaTheme="minorHAnsi"/>
          <w:color w:val="000000"/>
        </w:rPr>
      </w:pPr>
      <w:r>
        <w:rPr>
          <w:rStyle w:val="Strong"/>
          <w:rFonts w:eastAsia="Calibri" w:cs="" w:cstheme="minorBidi" w:eastAsiaTheme="minorHAnsi"/>
          <w:b/>
          <w:bCs/>
          <w:color w:val="000000"/>
        </w:rPr>
        <w:t>Configuraciones híbridas MH–PCM</w:t>
      </w:r>
      <w:r>
        <w:rPr>
          <w:rStyle w:val="Strong"/>
          <w:rFonts w:eastAsia="Calibri" w:cs="" w:cstheme="minorBidi" w:eastAsiaTheme="minorHAnsi"/>
          <w:b w:val="false"/>
          <w:bCs w:val="false"/>
          <w:color w:val="000000"/>
        </w:rPr>
        <w:t>:</w:t>
      </w:r>
      <w:r>
        <w:rPr>
          <w:rFonts w:eastAsia="Calibri" w:cs="" w:cstheme="minorBidi" w:eastAsiaTheme="minorHAnsi"/>
          <w:b w:val="false"/>
          <w:bCs w:val="false"/>
          <w:color w:val="000000"/>
        </w:rPr>
        <w:t xml:space="preserve">Incorporan </w:t>
      </w:r>
      <w:r>
        <w:rPr>
          <w:rStyle w:val="Strong"/>
          <w:rFonts w:eastAsia="Calibri" w:cs="" w:cstheme="minorBidi" w:eastAsiaTheme="minorHAnsi"/>
          <w:b w:val="false"/>
          <w:bCs w:val="false"/>
          <w:color w:val="000000"/>
        </w:rPr>
        <w:t>materiales de cambio de fase (PCM, ej. NaNO₃)</w:t>
      </w:r>
      <w:r>
        <w:rPr>
          <w:rFonts w:eastAsia="Calibri" w:cs="" w:cstheme="minorBidi" w:eastAsiaTheme="minorHAnsi"/>
          <w:b w:val="false"/>
          <w:bCs w:val="false"/>
          <w:color w:val="000000"/>
        </w:rPr>
        <w:t xml:space="preserve"> alrededor de los tubos de HTF.Permiten almacenar el calor de reacción durante la absorción y liberarlo en la desorción, mejorando la eficiencia global.Mellouli et al. [4] destacan que este enfoque ofrece un equilibrio entre </w:t>
      </w:r>
      <w:r>
        <w:rPr>
          <w:rStyle w:val="Strong"/>
          <w:rFonts w:eastAsia="Calibri" w:cs="" w:cstheme="minorBidi" w:eastAsiaTheme="minorHAnsi"/>
          <w:b w:val="false"/>
          <w:bCs w:val="false"/>
          <w:color w:val="000000"/>
        </w:rPr>
        <w:t>velocidad de llenado</w:t>
      </w:r>
      <w:r>
        <w:rPr>
          <w:rFonts w:eastAsia="Calibri" w:cs="" w:cstheme="minorBidi" w:eastAsiaTheme="minorHAnsi"/>
          <w:b w:val="false"/>
          <w:bCs w:val="false"/>
          <w:color w:val="000000"/>
        </w:rPr>
        <w:t xml:space="preserve"> y </w:t>
      </w:r>
      <w:r>
        <w:rPr>
          <w:rStyle w:val="Strong"/>
          <w:rFonts w:eastAsia="Calibri" w:cs="" w:cstheme="minorBidi" w:eastAsiaTheme="minorHAnsi"/>
          <w:b w:val="false"/>
          <w:bCs w:val="false"/>
          <w:color w:val="000000"/>
        </w:rPr>
        <w:t>recuperación energética</w:t>
      </w:r>
      <w:r>
        <w:rPr>
          <w:rFonts w:eastAsia="Calibri" w:cs="" w:cstheme="minorBidi" w:eastAsiaTheme="minorHAnsi"/>
          <w:b w:val="false"/>
          <w:bCs w:val="false"/>
          <w:color w:val="000000"/>
        </w:rPr>
        <w:t>.</w:t>
      </w:r>
    </w:p>
    <w:p>
      <w:pPr>
        <w:pStyle w:val="BodyText"/>
        <w:spacing w:lineRule="auto" w:line="240" w:before="0" w:after="160"/>
        <w:rPr>
          <w:rFonts w:eastAsia="Calibri" w:cs="" w:cstheme="minorBidi" w:eastAsiaTheme="minorHAnsi"/>
          <w:color w:val="000000"/>
        </w:rPr>
      </w:pPr>
      <w:r>
        <w:rPr>
          <w:rFonts w:eastAsia="Calibri" w:cs="" w:cstheme="minorBidi" w:eastAsiaTheme="minorHAnsi"/>
          <w:b w:val="false"/>
          <w:bCs w:val="false"/>
          <w:color w:val="000000"/>
        </w:rPr>
        <w:t xml:space="preserve">En conjunto, estos estudios [3], [4], [6] demuestran que la </w:t>
      </w:r>
      <w:r>
        <w:rPr>
          <w:rStyle w:val="Strong"/>
          <w:rFonts w:eastAsia="Calibri" w:cs="" w:cstheme="minorBidi" w:eastAsiaTheme="minorHAnsi"/>
          <w:b w:val="false"/>
          <w:bCs w:val="false"/>
          <w:color w:val="000000"/>
        </w:rPr>
        <w:t>configuración del intercambiador de calor es el factor dominante en el rendimiento de un MHR</w:t>
      </w:r>
      <w:r>
        <w:rPr>
          <w:rFonts w:eastAsia="Calibri" w:cs="" w:cstheme="minorBidi" w:eastAsiaTheme="minorHAnsi"/>
          <w:b w:val="false"/>
          <w:bCs w:val="false"/>
          <w:color w:val="000000"/>
        </w:rPr>
        <w:t xml:space="preserve">, pudiendo acortar los tiempos de carga/descarga hasta en un </w:t>
      </w:r>
      <w:r>
        <w:rPr>
          <w:rStyle w:val="Strong"/>
          <w:rFonts w:eastAsia="Calibri" w:cs="" w:cstheme="minorBidi" w:eastAsiaTheme="minorHAnsi"/>
          <w:b w:val="false"/>
          <w:bCs w:val="false"/>
          <w:color w:val="000000"/>
        </w:rPr>
        <w:t>80% en comparación con un lecho no optimizado</w:t>
      </w:r>
      <w:r>
        <w:rPr>
          <w:rFonts w:eastAsia="Calibri" w:cs="" w:cstheme="minorBidi" w:eastAsiaTheme="minorHAnsi"/>
          <w:b w:val="false"/>
          <w:bCs w:val="false"/>
          <w:color w:val="000000"/>
        </w:rPr>
        <w:t>.</w:t>
      </w:r>
    </w:p>
    <w:p>
      <w:pPr>
        <w:pStyle w:val="Heading2"/>
        <w:ind w:hanging="0" w:left="1284"/>
        <w:rPr>
          <w:color w:val="000000"/>
        </w:rPr>
      </w:pPr>
      <w:bookmarkStart w:id="11" w:name="__RefHeading___Toc4443_3807646603_Copia_"/>
      <w:bookmarkEnd w:id="11"/>
      <w:r>
        <w:rPr>
          <w:color w:val="000000"/>
        </w:rPr>
        <w:t xml:space="preserve">Desarrollo Metodológico y Avances </w:t>
      </w:r>
    </w:p>
    <w:p>
      <w:pPr>
        <w:pStyle w:val="BodyText"/>
        <w:spacing w:lineRule="auto" w:line="240" w:before="0" w:after="160"/>
        <w:rPr>
          <w:color w:val="000000"/>
        </w:rPr>
      </w:pPr>
      <w:r>
        <w:rPr>
          <w:b w:val="false"/>
          <w:bCs w:val="false"/>
          <w:color w:val="000000"/>
        </w:rPr>
        <w:t xml:space="preserve">La metodología de diseño sigue un esquema de </w:t>
      </w:r>
      <w:r>
        <w:rPr>
          <w:rStyle w:val="Strong"/>
          <w:b w:val="false"/>
          <w:bCs w:val="false"/>
          <w:color w:val="000000"/>
        </w:rPr>
        <w:t>cuatro fases</w:t>
      </w:r>
      <w:r>
        <w:rPr>
          <w:b w:val="false"/>
          <w:bCs w:val="false"/>
          <w:color w:val="000000"/>
        </w:rPr>
        <w:t xml:space="preserve"> [1]. En la presente etapa se han logrado avances críticos en las </w:t>
      </w:r>
      <w:r>
        <w:rPr>
          <w:rStyle w:val="Strong"/>
          <w:b w:val="false"/>
          <w:bCs w:val="false"/>
          <w:color w:val="000000"/>
        </w:rPr>
        <w:t>dos primeras fases</w:t>
      </w:r>
      <w:r>
        <w:rPr>
          <w:b w:val="false"/>
          <w:bCs w:val="false"/>
          <w:color w:val="000000"/>
        </w:rPr>
        <w:t xml:space="preserve">, con énfasis en la </w:t>
      </w:r>
      <w:r>
        <w:rPr>
          <w:rStyle w:val="Strong"/>
          <w:b w:val="false"/>
          <w:bCs w:val="false"/>
          <w:color w:val="000000"/>
        </w:rPr>
        <w:t>seguridad mecánica</w:t>
      </w:r>
      <w:r>
        <w:rPr>
          <w:b w:val="false"/>
          <w:bCs w:val="false"/>
          <w:color w:val="000000"/>
        </w:rPr>
        <w:t xml:space="preserve"> y en la </w:t>
      </w:r>
      <w:r>
        <w:rPr>
          <w:rStyle w:val="Strong"/>
          <w:b w:val="false"/>
          <w:bCs w:val="false"/>
          <w:color w:val="000000"/>
        </w:rPr>
        <w:t>optimización de la transferencia de calor</w:t>
      </w:r>
      <w:r>
        <w:rPr>
          <w:b w:val="false"/>
          <w:bCs w:val="false"/>
          <w:color w:val="000000"/>
        </w:rPr>
        <w:t>, aspectos fundamentales para el rendimiento del reactor de hidruros metálicos (MHR-AB).</w:t>
      </w:r>
    </w:p>
    <w:p>
      <w:pPr>
        <w:pStyle w:val="Heading3"/>
        <w:ind w:hanging="0" w:left="0"/>
        <w:rPr>
          <w:color w:val="000000"/>
        </w:rPr>
      </w:pPr>
      <w:bookmarkStart w:id="12" w:name="__RefHeading___Toc9315_1937502249_Copia_"/>
      <w:bookmarkEnd w:id="12"/>
      <w:r>
        <w:rPr>
          <w:b/>
          <w:bCs/>
          <w:color w:val="000000"/>
        </w:rPr>
        <w:t xml:space="preserve">Fase I: </w:t>
      </w:r>
      <w:r>
        <w:rPr>
          <w:rFonts w:eastAsia="Calibri" w:cs="" w:ascii="Arial Narrow" w:hAnsi="Arial Narrow" w:cstheme="minorBidi" w:eastAsiaTheme="minorHAnsi"/>
          <w:b/>
          <w:bCs/>
          <w:color w:val="000000"/>
        </w:rPr>
        <w:t xml:space="preserve">Definición de Prioridades y Selección de Material </w:t>
      </w:r>
    </w:p>
    <w:p>
      <w:pPr>
        <w:pStyle w:val="BodyText"/>
        <w:spacing w:lineRule="auto" w:line="240" w:before="0" w:after="160"/>
        <w:rPr>
          <w:color w:val="000000"/>
        </w:rPr>
      </w:pPr>
      <w:r>
        <w:rPr>
          <w:rStyle w:val="Strong"/>
          <w:color w:val="000000"/>
        </w:rPr>
        <w:t xml:space="preserve">Normativa aplicable: </w:t>
      </w:r>
      <w:r>
        <w:rPr>
          <w:b w:val="false"/>
          <w:bCs w:val="false"/>
          <w:color w:val="000000"/>
        </w:rPr>
        <w:t xml:space="preserve">Se adoptó la </w:t>
      </w:r>
      <w:r>
        <w:rPr>
          <w:rStyle w:val="Strong"/>
          <w:b w:val="false"/>
          <w:bCs w:val="false"/>
          <w:color w:val="000000"/>
        </w:rPr>
        <w:t>ASME Sección VIII, División I</w:t>
      </w:r>
      <w:r>
        <w:rPr>
          <w:b w:val="false"/>
          <w:bCs w:val="false"/>
          <w:color w:val="000000"/>
        </w:rPr>
        <w:t xml:space="preserve"> como código principal de construcción, dado que proporciona un </w:t>
      </w:r>
      <w:r>
        <w:rPr>
          <w:rStyle w:val="Strong"/>
          <w:b w:val="false"/>
          <w:bCs w:val="false"/>
          <w:color w:val="000000"/>
        </w:rPr>
        <w:t>factor de seguridad elevado (FS ≈ 3.5)</w:t>
      </w:r>
      <w:r>
        <w:rPr>
          <w:b w:val="false"/>
          <w:bCs w:val="false"/>
          <w:color w:val="000000"/>
        </w:rPr>
        <w:t xml:space="preserve"> y resulta adecuado para recipientes de </w:t>
      </w:r>
      <w:r>
        <w:rPr>
          <w:rStyle w:val="Strong"/>
          <w:b w:val="false"/>
          <w:bCs w:val="false"/>
          <w:color w:val="000000"/>
        </w:rPr>
        <w:t>baja presión como el TiFe</w:t>
      </w:r>
      <w:r>
        <w:rPr>
          <w:b w:val="false"/>
          <w:bCs w:val="false"/>
          <w:color w:val="000000"/>
        </w:rPr>
        <w:t>, simplificando la inspección y reduciendo costos de fabricación.</w:t>
        <w:br/>
        <w:t xml:space="preserve">En fases posteriores, los principios más rigurosos de la </w:t>
      </w:r>
      <w:r>
        <w:rPr>
          <w:rStyle w:val="Strong"/>
          <w:b w:val="false"/>
          <w:bCs w:val="false"/>
          <w:color w:val="000000"/>
        </w:rPr>
        <w:t>ASME Sección VIII, División II</w:t>
      </w:r>
      <w:r>
        <w:rPr>
          <w:b w:val="false"/>
          <w:bCs w:val="false"/>
          <w:color w:val="000000"/>
        </w:rPr>
        <w:t xml:space="preserve"> se emplearán en la etapa de simulación (Fase III), especialmente para validar la </w:t>
      </w:r>
      <w:r>
        <w:rPr>
          <w:rStyle w:val="Strong"/>
          <w:b w:val="false"/>
          <w:bCs w:val="false"/>
          <w:color w:val="000000"/>
        </w:rPr>
        <w:t>vida útil a fatiga cíclica</w:t>
      </w:r>
      <w:r>
        <w:rPr>
          <w:b w:val="false"/>
          <w:bCs w:val="false"/>
          <w:color w:val="000000"/>
        </w:rPr>
        <w:t xml:space="preserve"> en zonas críticas.</w:t>
      </w:r>
    </w:p>
    <w:p>
      <w:pPr>
        <w:pStyle w:val="BodyText"/>
        <w:spacing w:lineRule="auto" w:line="240" w:before="0" w:after="160"/>
        <w:rPr>
          <w:color w:val="000000"/>
        </w:rPr>
      </w:pPr>
      <w:r>
        <w:rPr>
          <w:rStyle w:val="Strong"/>
          <w:color w:val="000000"/>
        </w:rPr>
        <w:t xml:space="preserve">Selección de materiales estructurales: </w:t>
      </w:r>
      <w:r>
        <w:rPr>
          <w:color w:val="000000"/>
        </w:rPr>
        <w:t>La elección del material del recipiente y de los componentes internos se fundamentó en criterios de costo, seguridad y resistencia a la fragilización por hidrógeno.</w:t>
      </w:r>
    </w:p>
    <w:tbl>
      <w:tblPr>
        <w:tblW w:w="8838" w:type="dxa"/>
        <w:jc w:val="left"/>
        <w:tblInd w:w="28" w:type="dxa"/>
        <w:tblLayout w:type="fixed"/>
        <w:tblCellMar>
          <w:top w:w="28" w:type="dxa"/>
          <w:left w:w="28" w:type="dxa"/>
          <w:bottom w:w="28" w:type="dxa"/>
          <w:right w:w="28" w:type="dxa"/>
        </w:tblCellMar>
      </w:tblPr>
      <w:tblGrid>
        <w:gridCol w:w="1939"/>
        <w:gridCol w:w="3398"/>
        <w:gridCol w:w="3501"/>
      </w:tblGrid>
      <w:tr>
        <w:trPr>
          <w:tblHeader w:val="true"/>
        </w:trPr>
        <w:tc>
          <w:tcPr>
            <w:tcW w:w="1939" w:type="dxa"/>
            <w:tcBorders/>
            <w:vAlign w:val="center"/>
          </w:tcPr>
          <w:p>
            <w:pPr>
              <w:pStyle w:val="Ttulodelatablauser"/>
              <w:keepNext w:val="true"/>
              <w:suppressLineNumbers/>
              <w:spacing w:before="0" w:after="160"/>
              <w:jc w:val="center"/>
              <w:rPr/>
            </w:pPr>
            <w:r>
              <w:rPr/>
              <w:t>Componente</w:t>
            </w:r>
          </w:p>
        </w:tc>
        <w:tc>
          <w:tcPr>
            <w:tcW w:w="3398" w:type="dxa"/>
            <w:tcBorders/>
            <w:vAlign w:val="center"/>
          </w:tcPr>
          <w:p>
            <w:pPr>
              <w:pStyle w:val="Ttulodelatablauser"/>
              <w:suppressLineNumbers/>
              <w:spacing w:before="0" w:after="160"/>
              <w:jc w:val="center"/>
              <w:rPr/>
            </w:pPr>
            <w:r>
              <w:rPr/>
              <w:t>Material Propuesto</w:t>
            </w:r>
          </w:p>
        </w:tc>
        <w:tc>
          <w:tcPr>
            <w:tcW w:w="3501" w:type="dxa"/>
            <w:tcBorders/>
            <w:vAlign w:val="center"/>
          </w:tcPr>
          <w:p>
            <w:pPr>
              <w:pStyle w:val="Ttulodelatablauser"/>
              <w:suppressLineNumbers/>
              <w:spacing w:before="0" w:after="160"/>
              <w:jc w:val="center"/>
              <w:rPr/>
            </w:pPr>
            <w:r>
              <w:rPr/>
              <w:t>Observación</w:t>
            </w:r>
          </w:p>
        </w:tc>
      </w:tr>
      <w:tr>
        <w:trPr/>
        <w:tc>
          <w:tcPr>
            <w:tcW w:w="1939" w:type="dxa"/>
            <w:tcBorders/>
            <w:vAlign w:val="center"/>
          </w:tcPr>
          <w:p>
            <w:pPr>
              <w:pStyle w:val="Contenidodelatablauser"/>
              <w:keepNext w:val="true"/>
              <w:widowControl w:val="false"/>
              <w:suppressLineNumbers/>
              <w:spacing w:before="0" w:after="160"/>
              <w:rPr/>
            </w:pPr>
            <w:r>
              <w:rPr>
                <w:rStyle w:val="Strong"/>
              </w:rPr>
              <w:t>Recipiente (Shell)</w:t>
            </w:r>
          </w:p>
        </w:tc>
        <w:tc>
          <w:tcPr>
            <w:tcW w:w="3398" w:type="dxa"/>
            <w:tcBorders/>
            <w:vAlign w:val="center"/>
          </w:tcPr>
          <w:p>
            <w:pPr>
              <w:pStyle w:val="Contenidodelatablauser"/>
              <w:widowControl w:val="false"/>
              <w:suppressLineNumbers/>
              <w:spacing w:before="0" w:after="160"/>
              <w:rPr/>
            </w:pPr>
            <w:r>
              <w:rPr/>
              <w:t>Acero al Carbono (SA-516 Grado 70 o SA-285 Grado C) o Acero Inoxidable (SA-240 Tipo 316L)</w:t>
            </w:r>
          </w:p>
        </w:tc>
        <w:tc>
          <w:tcPr>
            <w:tcW w:w="3501" w:type="dxa"/>
            <w:tcBorders/>
            <w:vAlign w:val="center"/>
          </w:tcPr>
          <w:p>
            <w:pPr>
              <w:pStyle w:val="Contenidodelatablauser"/>
              <w:widowControl w:val="false"/>
              <w:suppressLineNumbers/>
              <w:spacing w:before="0" w:after="160"/>
              <w:rPr/>
            </w:pPr>
            <w:r>
              <w:rPr/>
              <w:t>Buena relación resistencia/costo; cumple con ASME para presiones moderadas</w:t>
            </w:r>
          </w:p>
        </w:tc>
      </w:tr>
      <w:tr>
        <w:trPr/>
        <w:tc>
          <w:tcPr>
            <w:tcW w:w="1939" w:type="dxa"/>
            <w:tcBorders/>
            <w:vAlign w:val="center"/>
          </w:tcPr>
          <w:p>
            <w:pPr>
              <w:pStyle w:val="Contenidodelatablauser"/>
              <w:keepNext w:val="true"/>
              <w:widowControl w:val="false"/>
              <w:suppressLineNumbers/>
              <w:spacing w:before="0" w:after="160"/>
              <w:rPr/>
            </w:pPr>
            <w:r>
              <w:rPr>
                <w:rStyle w:val="Strong"/>
              </w:rPr>
              <w:t>Tuberías internas (HTF)</w:t>
            </w:r>
          </w:p>
        </w:tc>
        <w:tc>
          <w:tcPr>
            <w:tcW w:w="3398" w:type="dxa"/>
            <w:tcBorders/>
            <w:vAlign w:val="center"/>
          </w:tcPr>
          <w:p>
            <w:pPr>
              <w:pStyle w:val="Contenidodelatablauser"/>
              <w:widowControl w:val="false"/>
              <w:suppressLineNumbers/>
              <w:spacing w:before="0" w:after="160"/>
              <w:rPr/>
            </w:pPr>
            <w:r>
              <w:rPr/>
              <w:t>Acero Inoxidable (SA-240 Tipo 304L o 316L)</w:t>
            </w:r>
          </w:p>
        </w:tc>
        <w:tc>
          <w:tcPr>
            <w:tcW w:w="3501" w:type="dxa"/>
            <w:tcBorders/>
            <w:vAlign w:val="center"/>
          </w:tcPr>
          <w:p>
            <w:pPr>
              <w:pStyle w:val="Contenidodelatablauser"/>
              <w:widowControl w:val="false"/>
              <w:suppressLineNumbers/>
              <w:spacing w:before="0" w:after="160"/>
              <w:rPr/>
            </w:pPr>
            <w:r>
              <w:rPr/>
              <w:t>Alta resistencia a la corrosión e interacción con H₂; evita fragilización por hidrógeno</w:t>
            </w:r>
          </w:p>
        </w:tc>
      </w:tr>
      <w:tr>
        <w:trPr/>
        <w:tc>
          <w:tcPr>
            <w:tcW w:w="1939" w:type="dxa"/>
            <w:tcBorders/>
            <w:vAlign w:val="center"/>
          </w:tcPr>
          <w:p>
            <w:pPr>
              <w:pStyle w:val="Contenidodelatablauser"/>
              <w:keepNext w:val="true"/>
              <w:widowControl w:val="false"/>
              <w:suppressLineNumbers/>
              <w:spacing w:before="0" w:after="160"/>
              <w:rPr/>
            </w:pPr>
            <w:r>
              <w:rPr>
                <w:rStyle w:val="Strong"/>
              </w:rPr>
              <w:t>Estructuras internas</w:t>
            </w:r>
          </w:p>
        </w:tc>
        <w:tc>
          <w:tcPr>
            <w:tcW w:w="3398" w:type="dxa"/>
            <w:tcBorders/>
            <w:vAlign w:val="center"/>
          </w:tcPr>
          <w:p>
            <w:pPr>
              <w:pStyle w:val="Contenidodelatablauser"/>
              <w:widowControl w:val="false"/>
              <w:suppressLineNumbers/>
              <w:spacing w:before="0" w:after="160"/>
              <w:rPr/>
            </w:pPr>
            <w:r>
              <w:rPr/>
              <w:t>Cobre/Bronce (para aletas o soportes)</w:t>
            </w:r>
          </w:p>
        </w:tc>
        <w:tc>
          <w:tcPr>
            <w:tcW w:w="3501" w:type="dxa"/>
            <w:tcBorders/>
            <w:vAlign w:val="center"/>
          </w:tcPr>
          <w:p>
            <w:pPr>
              <w:pStyle w:val="Contenidodelatablauser"/>
              <w:widowControl w:val="false"/>
              <w:suppressLineNumbers/>
              <w:spacing w:before="0" w:after="160"/>
              <w:rPr/>
            </w:pPr>
            <w:r>
              <w:rPr/>
              <w:t>Excelente conductividad térmica; ideal para optimizar la transferencia de calor</w:t>
            </w:r>
          </w:p>
        </w:tc>
      </w:tr>
    </w:tbl>
    <w:p>
      <w:pPr>
        <w:pStyle w:val="Tablauser"/>
        <w:rPr/>
      </w:pPr>
      <w:r>
        <w:rPr/>
        <w:t xml:space="preserve">Tabla </w:t>
      </w:r>
      <w:r>
        <w:rPr/>
        <w:fldChar w:fldCharType="begin"/>
      </w:r>
      <w:r>
        <w:rPr/>
        <w:instrText xml:space="preserve"> SEQ Tabla \* ARABIC </w:instrText>
      </w:r>
      <w:r>
        <w:rPr/>
        <w:fldChar w:fldCharType="separate"/>
      </w:r>
      <w:r>
        <w:rPr/>
        <w:t>3</w:t>
      </w:r>
      <w:r>
        <w:rPr/>
        <w:fldChar w:fldCharType="end"/>
      </w:r>
      <w:r>
        <w:rPr/>
        <w:t>: Selección de materiales bajo Norma ASME Sección VIII para el prototipo MHR-AB</w:t>
      </w:r>
    </w:p>
    <w:p>
      <w:pPr>
        <w:pStyle w:val="Heading3"/>
        <w:rPr>
          <w:color w:val="000000"/>
        </w:rPr>
      </w:pPr>
      <w:bookmarkStart w:id="13" w:name="__RefHeading___Toc4445_3807646603_Copia_"/>
      <w:bookmarkEnd w:id="13"/>
      <w:r>
        <w:rPr>
          <w:color w:val="000000"/>
        </w:rPr>
        <w:t xml:space="preserve"> </w:t>
      </w:r>
      <w:r>
        <w:rPr>
          <w:b/>
          <w:bCs/>
          <w:i w:val="false"/>
          <w:iCs w:val="false"/>
          <w:color w:val="000000"/>
        </w:rPr>
        <w:t>Optimización de la Transferencia de Calor</w:t>
      </w:r>
    </w:p>
    <w:p>
      <w:pPr>
        <w:pStyle w:val="BodyText"/>
        <w:spacing w:lineRule="auto" w:line="240" w:before="0" w:after="160"/>
        <w:ind w:hanging="0" w:left="0" w:right="0"/>
        <w:rPr>
          <w:b w:val="false"/>
          <w:bCs w:val="false"/>
          <w:color w:val="000000"/>
        </w:rPr>
      </w:pPr>
      <w:r>
        <w:rPr>
          <w:b w:val="false"/>
          <w:bCs w:val="false"/>
          <w:color w:val="000000"/>
        </w:rPr>
        <w:t xml:space="preserve">La </w:t>
      </w:r>
      <w:r>
        <w:rPr>
          <w:rStyle w:val="Strong"/>
          <w:b w:val="false"/>
          <w:bCs w:val="false"/>
          <w:color w:val="000000"/>
        </w:rPr>
        <w:t>eficiencia térmica</w:t>
      </w:r>
      <w:r>
        <w:rPr>
          <w:b w:val="false"/>
          <w:bCs w:val="false"/>
          <w:color w:val="000000"/>
        </w:rPr>
        <w:t xml:space="preserve"> es un factor crítico en el desempeño de los MHRs. La baja conductividad de los polvos de hidruro requiere diseños que maximicen el área de intercambio y la homogeneidad de la temperatura en el lecho.</w:t>
      </w:r>
    </w:p>
    <w:p>
      <w:pPr>
        <w:pStyle w:val="BodyText"/>
        <w:numPr>
          <w:ilvl w:val="0"/>
          <w:numId w:val="8"/>
        </w:numPr>
        <w:tabs>
          <w:tab w:val="clear" w:pos="708"/>
          <w:tab w:val="left" w:pos="0" w:leader="none"/>
        </w:tabs>
        <w:spacing w:lineRule="auto" w:line="240" w:before="0" w:after="160"/>
        <w:ind w:hanging="283" w:left="709"/>
        <w:rPr>
          <w:color w:val="000000"/>
        </w:rPr>
      </w:pPr>
      <w:r>
        <w:rPr>
          <w:rStyle w:val="Strong"/>
          <w:b w:val="false"/>
          <w:bCs w:val="false"/>
          <w:color w:val="000000"/>
        </w:rPr>
        <w:t>Optimización geométrica.</w:t>
      </w:r>
    </w:p>
    <w:p>
      <w:pPr>
        <w:pStyle w:val="BodyText"/>
        <w:numPr>
          <w:ilvl w:val="1"/>
          <w:numId w:val="8"/>
        </w:numPr>
        <w:tabs>
          <w:tab w:val="clear" w:pos="708"/>
          <w:tab w:val="left" w:pos="0" w:leader="none"/>
        </w:tabs>
        <w:spacing w:lineRule="auto" w:line="240" w:before="0" w:after="160"/>
        <w:ind w:hanging="283" w:left="1418"/>
        <w:rPr>
          <w:b w:val="false"/>
          <w:bCs w:val="false"/>
          <w:color w:val="000000"/>
        </w:rPr>
      </w:pPr>
      <w:r>
        <w:rPr>
          <w:b w:val="false"/>
          <w:bCs w:val="false"/>
          <w:color w:val="000000"/>
        </w:rPr>
        <w:t>Aletas radiales de cobre: aumentan significativamente el área de contacto y mejoran la cinética [3].</w:t>
      </w:r>
    </w:p>
    <w:p>
      <w:pPr>
        <w:pStyle w:val="BodyText"/>
        <w:numPr>
          <w:ilvl w:val="1"/>
          <w:numId w:val="8"/>
        </w:numPr>
        <w:tabs>
          <w:tab w:val="clear" w:pos="708"/>
          <w:tab w:val="left" w:pos="0" w:leader="none"/>
        </w:tabs>
        <w:spacing w:lineRule="auto" w:line="240" w:before="0" w:after="160"/>
        <w:ind w:hanging="283" w:left="1418"/>
        <w:rPr>
          <w:b w:val="false"/>
          <w:bCs w:val="false"/>
          <w:color w:val="000000"/>
        </w:rPr>
      </w:pPr>
      <w:r>
        <w:rPr>
          <w:b w:val="false"/>
          <w:bCs w:val="false"/>
          <w:color w:val="000000"/>
        </w:rPr>
        <w:t>Tubos de HTF en configuraciones concéntricas o en U: muestran una mayor eficiencia que los tubos rectos, reduciendo tiempos de carga/descarga [4].</w:t>
      </w:r>
    </w:p>
    <w:p>
      <w:pPr>
        <w:pStyle w:val="BodyText"/>
        <w:spacing w:lineRule="auto" w:line="240" w:before="0" w:after="160"/>
        <w:rPr/>
      </w:pPr>
      <w:r>
        <w:rPr>
          <w:b w:val="false"/>
          <w:bCs w:val="false"/>
          <w:color w:val="000000"/>
        </w:rPr>
        <w:t xml:space="preserve">Estos resultados experimentales demuestran que la geometría del intercambiador puede acortar los tiempos de almacenamiento hasta en un </w:t>
      </w:r>
      <w:r>
        <w:rPr>
          <w:rStyle w:val="Strong"/>
          <w:b w:val="false"/>
          <w:bCs w:val="false"/>
          <w:color w:val="000000"/>
        </w:rPr>
        <w:t>80% respecto a un lecho simple no optimizado</w:t>
      </w:r>
      <w:r>
        <w:rPr>
          <w:b w:val="false"/>
          <w:bCs w:val="false"/>
          <w:color w:val="000000"/>
        </w:rPr>
        <w:t>.</w:t>
      </w:r>
    </w:p>
    <w:p>
      <w:pPr>
        <w:pStyle w:val="Heading3"/>
        <w:ind w:hanging="0" w:left="0"/>
        <w:rPr>
          <w:color w:val="000000"/>
        </w:rPr>
      </w:pPr>
      <w:bookmarkStart w:id="14" w:name="__RefHeading___Toc9319_1937502249_Copia_"/>
      <w:bookmarkEnd w:id="14"/>
      <w:r>
        <w:rPr>
          <w:b/>
          <w:bCs/>
          <w:color w:val="000000"/>
        </w:rPr>
        <w:t xml:space="preserve">Fase II: Diseño Conceptual </w:t>
      </w:r>
    </w:p>
    <w:p>
      <w:pPr>
        <w:pStyle w:val="BodyText"/>
        <w:rPr>
          <w:rFonts w:ascii="Arial Narrow" w:hAnsi="Arial Narrow" w:eastAsia="Calibri" w:cs="" w:cstheme="minorBidi" w:eastAsiaTheme="minorHAnsi"/>
          <w:b w:val="false"/>
          <w:bCs w:val="false"/>
          <w:color w:val="000000"/>
          <w:sz w:val="22"/>
          <w:szCs w:val="22"/>
        </w:rPr>
      </w:pPr>
      <w:r>
        <w:rPr>
          <w:rFonts w:eastAsia="Calibri" w:cs="" w:cstheme="minorBidi" w:eastAsiaTheme="minorHAnsi"/>
          <w:b w:val="false"/>
          <w:bCs w:val="false"/>
          <w:color w:val="000000"/>
          <w:sz w:val="22"/>
          <w:szCs w:val="22"/>
        </w:rPr>
        <w:t xml:space="preserve">El diseño propuesto para el MHR-AB integra tuberías internas de </w:t>
      </w:r>
      <w:r>
        <w:rPr>
          <w:rStyle w:val="Strong"/>
          <w:rFonts w:eastAsia="Calibri" w:cs="" w:cstheme="minorBidi" w:eastAsiaTheme="minorHAnsi"/>
          <w:b w:val="false"/>
          <w:bCs w:val="false"/>
          <w:color w:val="000000"/>
          <w:sz w:val="22"/>
          <w:szCs w:val="22"/>
        </w:rPr>
        <w:t>acero inoxidable 316L</w:t>
      </w:r>
      <w:r>
        <w:rPr>
          <w:rFonts w:eastAsia="Calibri" w:cs="" w:cstheme="minorBidi" w:eastAsiaTheme="minorHAnsi"/>
          <w:b w:val="false"/>
          <w:bCs w:val="false"/>
          <w:color w:val="000000"/>
          <w:sz w:val="22"/>
          <w:szCs w:val="22"/>
        </w:rPr>
        <w:t xml:space="preserve">, de diámetro reducido (¼ a ⅜ pulgadas), en una configuración de </w:t>
      </w:r>
      <w:r>
        <w:rPr>
          <w:rStyle w:val="Strong"/>
          <w:rFonts w:eastAsia="Calibri" w:cs="" w:cstheme="minorBidi" w:eastAsiaTheme="minorHAnsi"/>
          <w:b w:val="false"/>
          <w:bCs w:val="false"/>
          <w:color w:val="000000"/>
          <w:sz w:val="22"/>
          <w:szCs w:val="22"/>
        </w:rPr>
        <w:t>serpentín helicoidal</w:t>
      </w:r>
      <w:r>
        <w:rPr>
          <w:rFonts w:eastAsia="Calibri" w:cs="" w:cstheme="minorBidi" w:eastAsiaTheme="minorHAnsi"/>
          <w:b w:val="false"/>
          <w:bCs w:val="false"/>
          <w:color w:val="000000"/>
          <w:sz w:val="22"/>
          <w:szCs w:val="22"/>
        </w:rPr>
        <w:t>, probada como la más eficiente para el control cinético [4].</w:t>
      </w:r>
    </w:p>
    <w:p>
      <w:pPr>
        <w:pStyle w:val="BodyText"/>
        <w:numPr>
          <w:ilvl w:val="0"/>
          <w:numId w:val="9"/>
        </w:numPr>
        <w:tabs>
          <w:tab w:val="clear" w:pos="708"/>
          <w:tab w:val="left" w:pos="0" w:leader="none"/>
        </w:tabs>
        <w:spacing w:lineRule="auto" w:line="240" w:before="0" w:after="160"/>
        <w:ind w:hanging="283" w:left="709"/>
        <w:rPr>
          <w:rFonts w:eastAsia="Calibri" w:cs="" w:cstheme="minorBidi" w:eastAsiaTheme="minorHAnsi"/>
          <w:color w:val="000000"/>
          <w:sz w:val="22"/>
        </w:rPr>
      </w:pPr>
      <w:r>
        <w:rPr>
          <w:rStyle w:val="Strong"/>
          <w:rFonts w:eastAsia="Calibri" w:cs="" w:cstheme="minorBidi" w:eastAsiaTheme="minorHAnsi"/>
          <w:b/>
          <w:bCs/>
          <w:color w:val="000000"/>
          <w:sz w:val="22"/>
        </w:rPr>
        <w:t>Fabricación del prototipo</w:t>
      </w:r>
      <w:r>
        <w:rPr>
          <w:rStyle w:val="Strong"/>
          <w:rFonts w:eastAsia="Calibri" w:cs="" w:cstheme="minorBidi" w:eastAsiaTheme="minorHAnsi"/>
          <w:b w:val="false"/>
          <w:bCs w:val="false"/>
          <w:color w:val="000000"/>
          <w:sz w:val="22"/>
        </w:rPr>
        <w:t>:</w:t>
      </w:r>
      <w:r>
        <w:rPr>
          <w:rFonts w:eastAsia="Calibri" w:cs="" w:cstheme="minorBidi" w:eastAsiaTheme="minorHAnsi"/>
          <w:b w:val="false"/>
          <w:bCs w:val="false"/>
          <w:color w:val="000000"/>
          <w:sz w:val="22"/>
        </w:rPr>
        <w:t xml:space="preserve">Se construirá un reactor con </w:t>
      </w:r>
      <w:r>
        <w:rPr>
          <w:rStyle w:val="Strong"/>
          <w:rFonts w:eastAsia="Calibri" w:cs="" w:cstheme="minorBidi" w:eastAsiaTheme="minorHAnsi"/>
          <w:b w:val="false"/>
          <w:bCs w:val="false"/>
          <w:color w:val="000000"/>
          <w:sz w:val="22"/>
        </w:rPr>
        <w:t>1 kg de aleación TiFe</w:t>
      </w:r>
      <w:r>
        <w:rPr>
          <w:rFonts w:eastAsia="Calibri" w:cs="" w:cstheme="minorBidi" w:eastAsiaTheme="minorHAnsi"/>
          <w:b w:val="false"/>
          <w:bCs w:val="false"/>
          <w:color w:val="000000"/>
          <w:sz w:val="22"/>
        </w:rPr>
        <w:t xml:space="preserve"> como prueba inicial. La activación se llevará a cabo en ciclos controlados de presión y temperatura durante </w:t>
      </w:r>
      <w:r>
        <w:rPr>
          <w:rStyle w:val="Strong"/>
          <w:rFonts w:eastAsia="Calibri" w:cs="" w:cstheme="minorBidi" w:eastAsiaTheme="minorHAnsi"/>
          <w:b w:val="false"/>
          <w:bCs w:val="false"/>
          <w:color w:val="000000"/>
          <w:sz w:val="22"/>
        </w:rPr>
        <w:t>≈284 h</w:t>
      </w:r>
      <w:r>
        <w:rPr>
          <w:rFonts w:eastAsia="Calibri" w:cs="" w:cstheme="minorBidi" w:eastAsiaTheme="minorHAnsi"/>
          <w:b w:val="false"/>
          <w:bCs w:val="false"/>
          <w:color w:val="000000"/>
          <w:sz w:val="22"/>
        </w:rPr>
        <w:t>, según lo reportado en un prototipo de 55 kg [5].</w:t>
      </w:r>
    </w:p>
    <w:p>
      <w:pPr>
        <w:pStyle w:val="BodyText"/>
        <w:numPr>
          <w:ilvl w:val="0"/>
          <w:numId w:val="9"/>
        </w:numPr>
        <w:tabs>
          <w:tab w:val="clear" w:pos="708"/>
          <w:tab w:val="left" w:pos="0" w:leader="none"/>
        </w:tabs>
        <w:spacing w:lineRule="auto" w:line="240" w:before="0" w:after="160"/>
        <w:ind w:hanging="283" w:left="709"/>
        <w:rPr>
          <w:rFonts w:eastAsia="Calibri" w:cs="" w:cstheme="minorBidi" w:eastAsiaTheme="minorHAnsi"/>
          <w:color w:val="000000"/>
          <w:sz w:val="22"/>
        </w:rPr>
      </w:pPr>
      <w:r>
        <w:rPr>
          <w:rStyle w:val="Strong"/>
          <w:rFonts w:eastAsia="Calibri" w:cs="" w:cstheme="minorBidi" w:eastAsiaTheme="minorHAnsi"/>
          <w:b/>
          <w:bCs/>
          <w:color w:val="000000"/>
          <w:sz w:val="22"/>
        </w:rPr>
        <w:t>Pruebas de rendimiento.</w:t>
      </w:r>
    </w:p>
    <w:p>
      <w:pPr>
        <w:pStyle w:val="BodyText"/>
        <w:numPr>
          <w:ilvl w:val="1"/>
          <w:numId w:val="9"/>
        </w:numPr>
        <w:tabs>
          <w:tab w:val="clear" w:pos="708"/>
          <w:tab w:val="left" w:pos="0" w:leader="none"/>
        </w:tabs>
        <w:spacing w:lineRule="auto" w:line="240" w:before="0" w:after="160"/>
        <w:ind w:hanging="283" w:left="1418"/>
        <w:rPr>
          <w:rFonts w:eastAsia="Calibri" w:cs="" w:cstheme="minorBidi" w:eastAsiaTheme="minorHAnsi"/>
          <w:color w:val="000000"/>
          <w:sz w:val="22"/>
        </w:rPr>
      </w:pPr>
      <w:r>
        <w:rPr>
          <w:rStyle w:val="Strong"/>
          <w:rFonts w:eastAsia="Calibri" w:cs="" w:cstheme="minorBidi" w:eastAsiaTheme="minorHAnsi"/>
          <w:b/>
          <w:bCs/>
          <w:color w:val="000000"/>
          <w:sz w:val="22"/>
        </w:rPr>
        <w:t>Activación:</w:t>
      </w:r>
      <w:r>
        <w:rPr>
          <w:rFonts w:eastAsia="Calibri" w:cs="" w:cstheme="minorBidi" w:eastAsiaTheme="minorHAnsi"/>
          <w:b w:val="false"/>
          <w:bCs w:val="false"/>
          <w:color w:val="000000"/>
          <w:sz w:val="22"/>
        </w:rPr>
        <w:t xml:space="preserve"> Escalamiento progresivo desde 1 kg → 10 kg , validando tiempos de activación y capacidad de suministro constante de H₂ (20 NL/min).</w:t>
      </w:r>
    </w:p>
    <w:p>
      <w:pPr>
        <w:pStyle w:val="BodyText"/>
        <w:numPr>
          <w:ilvl w:val="1"/>
          <w:numId w:val="9"/>
        </w:numPr>
        <w:tabs>
          <w:tab w:val="clear" w:pos="708"/>
          <w:tab w:val="left" w:pos="0" w:leader="none"/>
        </w:tabs>
        <w:spacing w:lineRule="auto" w:line="240" w:before="0" w:after="160"/>
        <w:ind w:hanging="283" w:left="1418"/>
        <w:rPr>
          <w:rFonts w:eastAsia="Calibri" w:cs="" w:cstheme="minorBidi" w:eastAsiaTheme="minorHAnsi"/>
          <w:color w:val="000000"/>
          <w:sz w:val="22"/>
        </w:rPr>
      </w:pPr>
      <w:r>
        <w:rPr>
          <w:rStyle w:val="Strong"/>
          <w:rFonts w:eastAsia="Calibri" w:cs="" w:cstheme="minorBidi" w:eastAsiaTheme="minorHAnsi"/>
          <w:b/>
          <w:bCs/>
          <w:color w:val="000000"/>
          <w:sz w:val="22"/>
        </w:rPr>
        <w:t>Cinética térmica:</w:t>
      </w:r>
      <w:r>
        <w:rPr>
          <w:rFonts w:eastAsia="Calibri" w:cs="" w:cstheme="minorBidi" w:eastAsiaTheme="minorHAnsi"/>
          <w:b w:val="false"/>
          <w:bCs w:val="false"/>
          <w:color w:val="000000"/>
          <w:sz w:val="22"/>
        </w:rPr>
        <w:t xml:space="preserve"> Medición de absorción y desorción bajo flujo constante y control de temperatura</w:t>
      </w:r>
    </w:p>
    <w:p>
      <w:pPr>
        <w:pStyle w:val="BodyText"/>
        <w:numPr>
          <w:ilvl w:val="1"/>
          <w:numId w:val="9"/>
        </w:numPr>
        <w:tabs>
          <w:tab w:val="clear" w:pos="708"/>
          <w:tab w:val="left" w:pos="0" w:leader="none"/>
        </w:tabs>
        <w:spacing w:lineRule="auto" w:line="240" w:before="0" w:after="160"/>
        <w:ind w:hanging="283" w:left="1418"/>
        <w:rPr>
          <w:rFonts w:eastAsia="Calibri" w:cs="" w:cstheme="minorBidi" w:eastAsiaTheme="minorHAnsi"/>
          <w:color w:val="000000"/>
          <w:sz w:val="22"/>
        </w:rPr>
      </w:pPr>
      <w:r>
        <w:rPr>
          <w:rStyle w:val="Strong"/>
          <w:rFonts w:eastAsia="Calibri" w:cs="" w:cstheme="minorBidi" w:eastAsiaTheme="minorHAnsi"/>
          <w:b/>
          <w:bCs/>
          <w:color w:val="000000"/>
          <w:sz w:val="22"/>
        </w:rPr>
        <w:t>Seguridad:</w:t>
      </w:r>
      <w:r>
        <w:rPr>
          <w:rFonts w:eastAsia="Calibri" w:cs="" w:cstheme="minorBidi" w:eastAsiaTheme="minorHAnsi"/>
          <w:b w:val="false"/>
          <w:bCs w:val="false"/>
          <w:color w:val="000000"/>
          <w:sz w:val="22"/>
        </w:rPr>
        <w:t xml:space="preserve"> Evaluación del sellado, resistencia estructural y comportamiento frente a ciclos repetidos de presión y temperatura.</w:t>
      </w:r>
    </w:p>
    <w:p>
      <w:pPr>
        <w:pStyle w:val="BodyText"/>
        <w:numPr>
          <w:ilvl w:val="0"/>
          <w:numId w:val="9"/>
        </w:numPr>
        <w:tabs>
          <w:tab w:val="clear" w:pos="708"/>
          <w:tab w:val="left" w:pos="0" w:leader="none"/>
        </w:tabs>
        <w:spacing w:lineRule="auto" w:line="240" w:before="0" w:after="160"/>
        <w:ind w:hanging="283" w:left="709"/>
        <w:rPr>
          <w:rFonts w:eastAsia="Calibri" w:cs="" w:cstheme="minorBidi" w:eastAsiaTheme="minorHAnsi"/>
          <w:color w:val="000000"/>
          <w:sz w:val="22"/>
        </w:rPr>
      </w:pPr>
      <w:r>
        <w:rPr>
          <w:rStyle w:val="Strong"/>
          <w:rFonts w:eastAsia="Calibri" w:cs="" w:cstheme="minorBidi" w:eastAsiaTheme="minorHAnsi"/>
          <w:b/>
          <w:bCs/>
          <w:color w:val="000000"/>
          <w:sz w:val="22"/>
        </w:rPr>
        <w:t>Evaluación final:</w:t>
      </w:r>
      <w:r>
        <w:rPr>
          <w:rStyle w:val="Strong"/>
          <w:rFonts w:eastAsia="Calibri" w:cs="" w:cstheme="minorBidi" w:eastAsiaTheme="minorHAnsi"/>
          <w:b w:val="false"/>
          <w:bCs w:val="false"/>
          <w:color w:val="000000"/>
          <w:sz w:val="22"/>
        </w:rPr>
        <w:t xml:space="preserve"> </w:t>
      </w:r>
      <w:r>
        <w:rPr>
          <w:rFonts w:eastAsia="Calibri" w:cs="" w:cstheme="minorBidi" w:eastAsiaTheme="minorHAnsi"/>
          <w:b w:val="false"/>
          <w:bCs w:val="false"/>
          <w:color w:val="000000"/>
          <w:sz w:val="22"/>
        </w:rPr>
        <w:t xml:space="preserve">El diseño se considerará exitoso si las pruebas experimentales verifican las predicciones numéricas y si los indicadores de </w:t>
      </w:r>
      <w:r>
        <w:rPr>
          <w:rStyle w:val="Strong"/>
          <w:rFonts w:eastAsia="Calibri" w:cs="" w:cstheme="minorBidi" w:eastAsiaTheme="minorHAnsi"/>
          <w:b w:val="false"/>
          <w:bCs w:val="false"/>
          <w:color w:val="000000"/>
          <w:sz w:val="22"/>
        </w:rPr>
        <w:t>capacidad, cinética y seguridad</w:t>
      </w:r>
      <w:r>
        <w:rPr>
          <w:rFonts w:eastAsia="Calibri" w:cs="" w:cstheme="minorBidi" w:eastAsiaTheme="minorHAnsi"/>
          <w:b w:val="false"/>
          <w:bCs w:val="false"/>
          <w:color w:val="000000"/>
          <w:sz w:val="22"/>
        </w:rPr>
        <w:t xml:space="preserve"> cumplen con los objetivos de diseño definidos en la Fase I.</w:t>
      </w:r>
    </w:p>
    <w:p>
      <w:pPr>
        <w:pStyle w:val="Heading2"/>
        <w:ind w:hanging="576" w:left="1284"/>
        <w:rPr>
          <w:color w:val="000000"/>
        </w:rPr>
      </w:pPr>
      <w:bookmarkStart w:id="15" w:name="__RefHeading___Toc1435_3807646603_Copia_"/>
      <w:bookmarkStart w:id="16" w:name="_Toc207791225_Copia_1"/>
      <w:bookmarkEnd w:id="15"/>
      <w:bookmarkEnd w:id="16"/>
      <w:r>
        <w:rPr>
          <w:color w:val="000000"/>
          <w:shd w:fill="auto" w:val="clear"/>
        </w:rPr>
        <w:t xml:space="preserve">Desarrollo en Diseños reactores MHRs </w:t>
      </w:r>
    </w:p>
    <w:p>
      <w:pPr>
        <w:pStyle w:val="BodyText"/>
        <w:spacing w:lineRule="auto" w:line="240" w:before="0" w:after="160"/>
        <w:ind w:hanging="0" w:left="0" w:right="0"/>
        <w:rPr>
          <w:b w:val="false"/>
          <w:bCs w:val="false"/>
          <w:color w:val="000000"/>
        </w:rPr>
      </w:pPr>
      <w:r>
        <w:rPr>
          <w:b w:val="false"/>
          <w:bCs w:val="false"/>
          <w:color w:val="000000"/>
        </w:rPr>
        <w:t xml:space="preserve">Los avances recientes en el desarrollo de </w:t>
      </w:r>
      <w:r>
        <w:rPr>
          <w:rStyle w:val="Strong"/>
          <w:b w:val="false"/>
          <w:bCs w:val="false"/>
          <w:color w:val="000000"/>
        </w:rPr>
        <w:t>Reactores de Hidruros Metálicos (MHRs)</w:t>
      </w:r>
      <w:r>
        <w:rPr>
          <w:b w:val="false"/>
          <w:bCs w:val="false"/>
          <w:color w:val="000000"/>
        </w:rPr>
        <w:t xml:space="preserve"> para aplicaciones estacionarias se centran en la </w:t>
      </w:r>
      <w:r>
        <w:rPr>
          <w:rStyle w:val="Strong"/>
          <w:b w:val="false"/>
          <w:bCs w:val="false"/>
          <w:color w:val="000000"/>
        </w:rPr>
        <w:t>optimización integral del material y de la gestión térmica</w:t>
      </w:r>
      <w:r>
        <w:rPr>
          <w:b w:val="false"/>
          <w:bCs w:val="false"/>
          <w:color w:val="000000"/>
        </w:rPr>
        <w:t>. El rendimiento de un MHR depende directamente de:</w:t>
      </w:r>
    </w:p>
    <w:p>
      <w:pPr>
        <w:pStyle w:val="BodyText"/>
        <w:numPr>
          <w:ilvl w:val="0"/>
          <w:numId w:val="10"/>
        </w:numPr>
        <w:tabs>
          <w:tab w:val="clear" w:pos="708"/>
          <w:tab w:val="left" w:pos="0" w:leader="none"/>
        </w:tabs>
        <w:spacing w:lineRule="auto" w:line="240" w:before="0" w:after="160"/>
        <w:ind w:hanging="283" w:left="709"/>
        <w:rPr>
          <w:color w:val="000000"/>
        </w:rPr>
      </w:pPr>
      <w:r>
        <w:rPr>
          <w:b w:val="false"/>
          <w:bCs w:val="false"/>
          <w:color w:val="000000"/>
        </w:rPr>
        <w:t xml:space="preserve">La </w:t>
      </w:r>
      <w:r>
        <w:rPr>
          <w:rStyle w:val="Strong"/>
          <w:b w:val="false"/>
          <w:bCs w:val="false"/>
          <w:color w:val="000000"/>
        </w:rPr>
        <w:t>selección de aleaciones</w:t>
      </w:r>
      <w:r>
        <w:rPr>
          <w:b w:val="false"/>
          <w:bCs w:val="false"/>
          <w:color w:val="000000"/>
        </w:rPr>
        <w:t xml:space="preserve"> con cinética rápida y estable.</w:t>
      </w:r>
    </w:p>
    <w:p>
      <w:pPr>
        <w:pStyle w:val="BodyText"/>
        <w:numPr>
          <w:ilvl w:val="0"/>
          <w:numId w:val="10"/>
        </w:numPr>
        <w:tabs>
          <w:tab w:val="clear" w:pos="708"/>
          <w:tab w:val="left" w:pos="0" w:leader="none"/>
        </w:tabs>
        <w:spacing w:lineRule="auto" w:line="240" w:before="0" w:after="160"/>
        <w:ind w:hanging="283" w:left="709"/>
        <w:rPr>
          <w:color w:val="000000"/>
        </w:rPr>
      </w:pPr>
      <w:r>
        <w:rPr>
          <w:b w:val="false"/>
          <w:bCs w:val="false"/>
          <w:color w:val="000000"/>
        </w:rPr>
        <w:t xml:space="preserve">La </w:t>
      </w:r>
      <w:r>
        <w:rPr>
          <w:rStyle w:val="Strong"/>
          <w:b w:val="false"/>
          <w:bCs w:val="false"/>
          <w:color w:val="000000"/>
        </w:rPr>
        <w:t>superación de la baja conductividad térmica intrínseca</w:t>
      </w:r>
      <w:r>
        <w:rPr>
          <w:b w:val="false"/>
          <w:bCs w:val="false"/>
          <w:color w:val="000000"/>
        </w:rPr>
        <w:t xml:space="preserve"> de los polvos de hidruro.</w:t>
      </w:r>
    </w:p>
    <w:p>
      <w:pPr>
        <w:pStyle w:val="BodyText"/>
        <w:spacing w:lineRule="auto" w:line="240" w:before="0" w:after="160"/>
        <w:rPr>
          <w:color w:val="000000"/>
        </w:rPr>
      </w:pPr>
      <w:r>
        <w:rPr>
          <w:b w:val="false"/>
          <w:bCs w:val="false"/>
          <w:color w:val="000000"/>
        </w:rPr>
        <w:t xml:space="preserve">Por ello, los esfuerzos de diseño se han concentrado en materiales tipo </w:t>
      </w:r>
      <w:r>
        <w:rPr>
          <w:rStyle w:val="Strong"/>
          <w:b w:val="false"/>
          <w:bCs w:val="false"/>
          <w:color w:val="000000"/>
        </w:rPr>
        <w:t>AB</w:t>
      </w:r>
      <w:r>
        <w:rPr>
          <w:b w:val="false"/>
          <w:bCs w:val="false"/>
          <w:color w:val="000000"/>
        </w:rPr>
        <w:t xml:space="preserve"> y en </w:t>
      </w:r>
      <w:r>
        <w:rPr>
          <w:rStyle w:val="Strong"/>
          <w:b w:val="false"/>
          <w:bCs w:val="false"/>
          <w:color w:val="000000"/>
        </w:rPr>
        <w:t>estrategias de intercambio de calor</w:t>
      </w:r>
      <w:r>
        <w:rPr>
          <w:b w:val="false"/>
          <w:bCs w:val="false"/>
          <w:color w:val="000000"/>
        </w:rPr>
        <w:t xml:space="preserve"> que permitan mantener un suministro estable de H₂ bajo condiciones moderadas de presión y temperatura.</w:t>
      </w:r>
    </w:p>
    <w:p>
      <w:pPr>
        <w:pStyle w:val="Heading3"/>
        <w:ind w:hanging="0" w:left="0"/>
        <w:rPr>
          <w:b/>
          <w:bCs/>
          <w:color w:val="000000"/>
        </w:rPr>
      </w:pPr>
      <w:bookmarkStart w:id="17" w:name="__RefHeading___Toc1424_1937502249"/>
      <w:bookmarkEnd w:id="17"/>
      <w:r>
        <w:rPr>
          <w:b/>
          <w:bCs/>
          <w:color w:val="000000"/>
        </w:rPr>
        <w:t>Condiciones de Operación del Prototipo</w:t>
      </w:r>
    </w:p>
    <w:p>
      <w:pPr>
        <w:pStyle w:val="Normal"/>
        <w:ind w:hanging="0" w:left="0" w:right="0"/>
        <w:rPr>
          <w:color w:val="000000"/>
        </w:rPr>
      </w:pPr>
      <w:r>
        <w:rPr>
          <w:b w:val="false"/>
          <w:bCs w:val="false"/>
          <w:color w:val="000000"/>
        </w:rPr>
        <w:t xml:space="preserve">El diseño del MHR-AB se basa en la </w:t>
      </w:r>
      <w:r>
        <w:rPr>
          <w:rStyle w:val="Strong"/>
          <w:b w:val="false"/>
          <w:bCs w:val="false"/>
          <w:color w:val="000000"/>
        </w:rPr>
        <w:t>aleación AB</w:t>
      </w:r>
      <w:r>
        <w:rPr>
          <w:b w:val="false"/>
          <w:bCs w:val="false"/>
          <w:color w:val="000000"/>
        </w:rPr>
        <w:t>, que presenta ventajas de bajo costo, estabilidad estructural y operación en condiciones suaves. Los parámetros operativos definidos se muestran en la siguiente tabla</w:t>
      </w:r>
      <w:r>
        <w:rPr>
          <w:color w:val="000000"/>
        </w:rPr>
        <w:t>.</w:t>
      </w:r>
    </w:p>
    <w:p>
      <w:pPr>
        <w:pStyle w:val="Normal"/>
        <w:ind w:hanging="0" w:left="0" w:right="0"/>
        <w:rPr>
          <w:color w:val="000000"/>
        </w:rPr>
      </w:pPr>
      <w:r>
        <w:rPr>
          <w:color w:val="000000"/>
        </w:rPr>
      </w:r>
    </w:p>
    <w:tbl>
      <w:tblPr>
        <w:tblW w:w="8838" w:type="dxa"/>
        <w:jc w:val="left"/>
        <w:tblInd w:w="28" w:type="dxa"/>
        <w:tblLayout w:type="fixed"/>
        <w:tblCellMar>
          <w:top w:w="28" w:type="dxa"/>
          <w:left w:w="28" w:type="dxa"/>
          <w:bottom w:w="28" w:type="dxa"/>
          <w:right w:w="28" w:type="dxa"/>
        </w:tblCellMar>
      </w:tblPr>
      <w:tblGrid>
        <w:gridCol w:w="1992"/>
        <w:gridCol w:w="1805"/>
        <w:gridCol w:w="3263"/>
        <w:gridCol w:w="1777"/>
      </w:tblGrid>
      <w:tr>
        <w:trPr>
          <w:tblHeader w:val="true"/>
        </w:trPr>
        <w:tc>
          <w:tcPr>
            <w:tcW w:w="1992" w:type="dxa"/>
            <w:tcBorders/>
            <w:vAlign w:val="center"/>
          </w:tcPr>
          <w:p>
            <w:pPr>
              <w:pStyle w:val="Ttulodelatablauser"/>
              <w:keepNext w:val="true"/>
              <w:suppressLineNumbers/>
              <w:spacing w:before="0" w:after="160"/>
              <w:jc w:val="center"/>
              <w:rPr/>
            </w:pPr>
            <w:r>
              <w:rPr/>
              <w:t>Parámetro Operacional</w:t>
            </w:r>
          </w:p>
        </w:tc>
        <w:tc>
          <w:tcPr>
            <w:tcW w:w="1805" w:type="dxa"/>
            <w:tcBorders/>
            <w:vAlign w:val="center"/>
          </w:tcPr>
          <w:p>
            <w:pPr>
              <w:pStyle w:val="Ttulodelatablauser"/>
              <w:suppressLineNumbers/>
              <w:spacing w:before="0" w:after="160"/>
              <w:jc w:val="center"/>
              <w:rPr/>
            </w:pPr>
            <w:r>
              <w:rPr/>
              <w:t>Valor de Referencia</w:t>
            </w:r>
          </w:p>
        </w:tc>
        <w:tc>
          <w:tcPr>
            <w:tcW w:w="3263" w:type="dxa"/>
            <w:tcBorders/>
            <w:vAlign w:val="center"/>
          </w:tcPr>
          <w:p>
            <w:pPr>
              <w:pStyle w:val="Ttulodelatablauser"/>
              <w:suppressLineNumbers/>
              <w:spacing w:before="0" w:after="160"/>
              <w:jc w:val="center"/>
              <w:rPr/>
            </w:pPr>
            <w:r>
              <w:rPr/>
              <w:t>Observación</w:t>
            </w:r>
          </w:p>
        </w:tc>
        <w:tc>
          <w:tcPr>
            <w:tcW w:w="1777" w:type="dxa"/>
            <w:tcBorders/>
            <w:vAlign w:val="center"/>
          </w:tcPr>
          <w:p>
            <w:pPr>
              <w:pStyle w:val="Ttulodelatablauser"/>
              <w:suppressLineNumbers/>
              <w:spacing w:before="0" w:after="160"/>
              <w:jc w:val="center"/>
              <w:rPr/>
            </w:pPr>
            <w:r>
              <w:rPr/>
              <w:t>Referencia</w:t>
            </w:r>
          </w:p>
        </w:tc>
      </w:tr>
      <w:tr>
        <w:trPr/>
        <w:tc>
          <w:tcPr>
            <w:tcW w:w="1992" w:type="dxa"/>
            <w:tcBorders/>
            <w:vAlign w:val="center"/>
          </w:tcPr>
          <w:p>
            <w:pPr>
              <w:pStyle w:val="Contenidodelatablauser"/>
              <w:keepNext w:val="true"/>
              <w:widowControl w:val="false"/>
              <w:suppressLineNumbers/>
              <w:spacing w:before="0" w:after="160"/>
              <w:rPr/>
            </w:pPr>
            <w:r>
              <w:rPr>
                <w:rStyle w:val="Strong"/>
              </w:rPr>
              <w:t>Aleación MH</w:t>
            </w:r>
          </w:p>
        </w:tc>
        <w:tc>
          <w:tcPr>
            <w:tcW w:w="1805" w:type="dxa"/>
            <w:tcBorders/>
            <w:vAlign w:val="center"/>
          </w:tcPr>
          <w:p>
            <w:pPr>
              <w:pStyle w:val="Contenidodelatablauser"/>
              <w:widowControl w:val="false"/>
              <w:suppressLineNumbers/>
              <w:spacing w:before="0" w:after="160"/>
              <w:rPr/>
            </w:pPr>
            <w:r>
              <w:rPr/>
              <w:t>TiFe-base (Tipo AB)</w:t>
            </w:r>
          </w:p>
        </w:tc>
        <w:tc>
          <w:tcPr>
            <w:tcW w:w="3263" w:type="dxa"/>
            <w:tcBorders/>
            <w:vAlign w:val="center"/>
          </w:tcPr>
          <w:p>
            <w:pPr>
              <w:pStyle w:val="Contenidodelatablauser"/>
              <w:widowControl w:val="false"/>
              <w:suppressLineNumbers/>
              <w:spacing w:before="0" w:after="160"/>
              <w:rPr/>
            </w:pPr>
            <w:r>
              <w:rPr/>
              <w:t>Permite uso de acero SA-516 en el recipiente</w:t>
            </w:r>
          </w:p>
        </w:tc>
        <w:tc>
          <w:tcPr>
            <w:tcW w:w="1777" w:type="dxa"/>
            <w:tcBorders/>
            <w:vAlign w:val="center"/>
          </w:tcPr>
          <w:p>
            <w:pPr>
              <w:pStyle w:val="Contenidodelatablauser"/>
              <w:widowControl w:val="false"/>
              <w:suppressLineNumbers/>
              <w:spacing w:before="0" w:after="160"/>
              <w:rPr/>
            </w:pPr>
            <w:r>
              <w:rPr/>
              <w:t>Endo et al. (2017) [1], [5]</w:t>
            </w:r>
          </w:p>
        </w:tc>
      </w:tr>
      <w:tr>
        <w:trPr/>
        <w:tc>
          <w:tcPr>
            <w:tcW w:w="1992" w:type="dxa"/>
            <w:tcBorders/>
            <w:vAlign w:val="center"/>
          </w:tcPr>
          <w:p>
            <w:pPr>
              <w:pStyle w:val="Contenidodelatablauser"/>
              <w:keepNext w:val="true"/>
              <w:widowControl w:val="false"/>
              <w:suppressLineNumbers/>
              <w:spacing w:before="0" w:after="160"/>
              <w:rPr/>
            </w:pPr>
            <w:r>
              <w:rPr>
                <w:rStyle w:val="Strong"/>
              </w:rPr>
              <w:t>Presión de operación</w:t>
            </w:r>
          </w:p>
        </w:tc>
        <w:tc>
          <w:tcPr>
            <w:tcW w:w="1805" w:type="dxa"/>
            <w:tcBorders/>
            <w:vAlign w:val="center"/>
          </w:tcPr>
          <w:p>
            <w:pPr>
              <w:pStyle w:val="Contenidodelatablauser"/>
              <w:widowControl w:val="false"/>
              <w:suppressLineNumbers/>
              <w:spacing w:before="0" w:after="160"/>
              <w:rPr/>
            </w:pPr>
            <w:r>
              <w:rPr/>
              <w:t>1.0 MPa (MAWP ≈ 1.2 MPa)</w:t>
            </w:r>
          </w:p>
        </w:tc>
        <w:tc>
          <w:tcPr>
            <w:tcW w:w="3263" w:type="dxa"/>
            <w:tcBorders/>
            <w:vAlign w:val="center"/>
          </w:tcPr>
          <w:p>
            <w:pPr>
              <w:pStyle w:val="Contenidodelatablauser"/>
              <w:widowControl w:val="false"/>
              <w:suppressLineNumbers/>
              <w:spacing w:before="0" w:after="160"/>
              <w:rPr/>
            </w:pPr>
            <w:r>
              <w:rPr/>
              <w:t>Permite diseño de recipiente ASME Div. I con bajo espesor</w:t>
            </w:r>
          </w:p>
        </w:tc>
        <w:tc>
          <w:tcPr>
            <w:tcW w:w="1777" w:type="dxa"/>
            <w:tcBorders/>
            <w:vAlign w:val="center"/>
          </w:tcPr>
          <w:p>
            <w:pPr>
              <w:pStyle w:val="Contenidodelatablauser"/>
              <w:widowControl w:val="false"/>
              <w:suppressLineNumbers/>
              <w:spacing w:before="0" w:after="160"/>
              <w:rPr/>
            </w:pPr>
            <w:r>
              <w:rPr/>
              <w:t>[1], [5]</w:t>
            </w:r>
          </w:p>
        </w:tc>
      </w:tr>
      <w:tr>
        <w:trPr/>
        <w:tc>
          <w:tcPr>
            <w:tcW w:w="1992" w:type="dxa"/>
            <w:tcBorders/>
            <w:vAlign w:val="center"/>
          </w:tcPr>
          <w:p>
            <w:pPr>
              <w:pStyle w:val="Contenidodelatablauser"/>
              <w:keepNext w:val="true"/>
              <w:widowControl w:val="false"/>
              <w:suppressLineNumbers/>
              <w:spacing w:before="0" w:after="160"/>
              <w:rPr/>
            </w:pPr>
            <w:r>
              <w:rPr>
                <w:rStyle w:val="Strong"/>
              </w:rPr>
              <w:t>Temperatura operación</w:t>
            </w:r>
          </w:p>
        </w:tc>
        <w:tc>
          <w:tcPr>
            <w:tcW w:w="1805" w:type="dxa"/>
            <w:tcBorders/>
            <w:vAlign w:val="center"/>
          </w:tcPr>
          <w:p>
            <w:pPr>
              <w:pStyle w:val="Contenidodelatablauser"/>
              <w:widowControl w:val="false"/>
              <w:suppressLineNumbers/>
              <w:spacing w:before="0" w:after="160"/>
              <w:rPr/>
            </w:pPr>
            <w:r>
              <w:rPr/>
              <w:t>60–70 °C (HTF)</w:t>
            </w:r>
          </w:p>
        </w:tc>
        <w:tc>
          <w:tcPr>
            <w:tcW w:w="3263" w:type="dxa"/>
            <w:tcBorders/>
            <w:vAlign w:val="center"/>
          </w:tcPr>
          <w:p>
            <w:pPr>
              <w:pStyle w:val="Contenidodelatablauser"/>
              <w:widowControl w:val="false"/>
              <w:suppressLineNumbers/>
              <w:spacing w:before="0" w:after="160"/>
              <w:rPr/>
            </w:pPr>
            <w:r>
              <w:rPr/>
              <w:t>Compatible con fluidos de bajo costo (salmuera/glicol) y con SA-516</w:t>
            </w:r>
          </w:p>
        </w:tc>
        <w:tc>
          <w:tcPr>
            <w:tcW w:w="1777" w:type="dxa"/>
            <w:tcBorders/>
            <w:vAlign w:val="center"/>
          </w:tcPr>
          <w:p>
            <w:pPr>
              <w:pStyle w:val="Contenidodelatablauser"/>
              <w:widowControl w:val="false"/>
              <w:suppressLineNumbers/>
              <w:spacing w:before="0" w:after="160"/>
              <w:rPr/>
            </w:pPr>
            <w:r>
              <w:rPr/>
              <w:t>[1], [5]</w:t>
            </w:r>
          </w:p>
        </w:tc>
      </w:tr>
      <w:tr>
        <w:trPr/>
        <w:tc>
          <w:tcPr>
            <w:tcW w:w="1992" w:type="dxa"/>
            <w:tcBorders/>
            <w:vAlign w:val="center"/>
          </w:tcPr>
          <w:p>
            <w:pPr>
              <w:pStyle w:val="Contenidodelatablauser"/>
              <w:keepNext w:val="true"/>
              <w:widowControl w:val="false"/>
              <w:suppressLineNumbers/>
              <w:spacing w:before="0" w:after="160"/>
              <w:rPr/>
            </w:pPr>
            <w:r>
              <w:rPr>
                <w:rStyle w:val="Strong"/>
              </w:rPr>
              <w:t>Calor de reacción (ΔH)</w:t>
            </w:r>
          </w:p>
        </w:tc>
        <w:tc>
          <w:tcPr>
            <w:tcW w:w="1805" w:type="dxa"/>
            <w:tcBorders/>
            <w:vAlign w:val="center"/>
          </w:tcPr>
          <w:p>
            <w:pPr>
              <w:pStyle w:val="Contenidodelatablauser"/>
              <w:widowControl w:val="false"/>
              <w:suppressLineNumbers/>
              <w:spacing w:before="0" w:after="160"/>
              <w:rPr/>
            </w:pPr>
            <w:r>
              <w:rPr/>
              <w:t xml:space="preserve">≈ </w:t>
            </w:r>
            <w:r>
              <w:rPr/>
              <w:t>30 kJ/mol H₂</w:t>
            </w:r>
          </w:p>
        </w:tc>
        <w:tc>
          <w:tcPr>
            <w:tcW w:w="3263" w:type="dxa"/>
            <w:tcBorders/>
            <w:vAlign w:val="center"/>
          </w:tcPr>
          <w:p>
            <w:pPr>
              <w:pStyle w:val="Contenidodelatablauser"/>
              <w:widowControl w:val="false"/>
              <w:suppressLineNumbers/>
              <w:spacing w:before="0" w:after="160"/>
              <w:rPr/>
            </w:pPr>
            <w:r>
              <w:rPr/>
              <w:t>Base para calcular la potencia térmica máxima requerida</w:t>
            </w:r>
          </w:p>
        </w:tc>
        <w:tc>
          <w:tcPr>
            <w:tcW w:w="1777" w:type="dxa"/>
            <w:tcBorders/>
            <w:vAlign w:val="center"/>
          </w:tcPr>
          <w:p>
            <w:pPr>
              <w:pStyle w:val="Contenidodelatablauser"/>
              <w:widowControl w:val="false"/>
              <w:suppressLineNumbers/>
              <w:spacing w:before="0" w:after="160"/>
              <w:rPr/>
            </w:pPr>
            <w:r>
              <w:rPr/>
              <w:t>–</w:t>
            </w:r>
          </w:p>
        </w:tc>
      </w:tr>
      <w:tr>
        <w:trPr/>
        <w:tc>
          <w:tcPr>
            <w:tcW w:w="1992" w:type="dxa"/>
            <w:tcBorders/>
            <w:vAlign w:val="center"/>
          </w:tcPr>
          <w:p>
            <w:pPr>
              <w:pStyle w:val="Contenidodelatablauser"/>
              <w:keepNext w:val="true"/>
              <w:widowControl w:val="false"/>
              <w:suppressLineNumbers/>
              <w:spacing w:before="0" w:after="160"/>
              <w:rPr/>
            </w:pPr>
            <w:r>
              <w:rPr>
                <w:rStyle w:val="Strong"/>
              </w:rPr>
              <w:t>Flujo de H₂ objetivo</w:t>
            </w:r>
          </w:p>
        </w:tc>
        <w:tc>
          <w:tcPr>
            <w:tcW w:w="1805" w:type="dxa"/>
            <w:tcBorders/>
            <w:vAlign w:val="center"/>
          </w:tcPr>
          <w:p>
            <w:pPr>
              <w:pStyle w:val="Contenidodelatablauser"/>
              <w:widowControl w:val="false"/>
              <w:suppressLineNumbers/>
              <w:spacing w:before="0" w:after="160"/>
              <w:rPr/>
            </w:pPr>
            <w:r>
              <w:rPr/>
              <w:t>20 NL/min (descarga)</w:t>
            </w:r>
          </w:p>
        </w:tc>
        <w:tc>
          <w:tcPr>
            <w:tcW w:w="3263" w:type="dxa"/>
            <w:tcBorders/>
            <w:vAlign w:val="center"/>
          </w:tcPr>
          <w:p>
            <w:pPr>
              <w:pStyle w:val="Contenidodelatablauser"/>
              <w:widowControl w:val="false"/>
              <w:suppressLineNumbers/>
              <w:spacing w:before="0" w:after="160"/>
              <w:rPr/>
            </w:pPr>
            <w:r>
              <w:rPr/>
              <w:t>Determina el tiempo de reacción y la tasa mínima de transferencia de calor</w:t>
            </w:r>
          </w:p>
        </w:tc>
        <w:tc>
          <w:tcPr>
            <w:tcW w:w="1777" w:type="dxa"/>
            <w:tcBorders/>
            <w:vAlign w:val="center"/>
          </w:tcPr>
          <w:p>
            <w:pPr>
              <w:pStyle w:val="Contenidodelatablauser"/>
              <w:widowControl w:val="false"/>
              <w:suppressLineNumbers/>
              <w:spacing w:before="0" w:after="160"/>
              <w:rPr/>
            </w:pPr>
            <w:r>
              <w:rPr/>
              <w:t>[1], [5]</w:t>
            </w:r>
          </w:p>
        </w:tc>
      </w:tr>
    </w:tbl>
    <w:p>
      <w:pPr>
        <w:pStyle w:val="Tablauser"/>
        <w:rPr/>
      </w:pPr>
      <w:r>
        <w:rPr/>
        <w:t xml:space="preserve">Tabla </w:t>
      </w:r>
      <w:r>
        <w:rPr/>
        <w:fldChar w:fldCharType="begin"/>
      </w:r>
      <w:r>
        <w:rPr/>
        <w:instrText xml:space="preserve"> SEQ Tabla \* ARABIC </w:instrText>
      </w:r>
      <w:r>
        <w:rPr/>
        <w:fldChar w:fldCharType="separate"/>
      </w:r>
      <w:r>
        <w:rPr/>
        <w:t>4</w:t>
      </w:r>
      <w:r>
        <w:rPr/>
        <w:fldChar w:fldCharType="end"/>
      </w:r>
      <w:r>
        <w:rPr/>
        <w:t>: Condiciones base de operación del prototipo MHR-AB</w:t>
      </w:r>
    </w:p>
    <w:p>
      <w:pPr>
        <w:pStyle w:val="BodyText"/>
        <w:spacing w:lineRule="auto" w:line="240" w:before="0" w:after="160"/>
        <w:ind w:hanging="0" w:left="0" w:right="0"/>
        <w:rPr>
          <w:color w:val="000000"/>
        </w:rPr>
      </w:pPr>
      <w:r>
        <w:rPr>
          <w:color w:val="000000"/>
        </w:rPr>
        <w:t>El diseño mecánico del recipiente sigue un enfoque dual:</w:t>
      </w:r>
    </w:p>
    <w:p>
      <w:pPr>
        <w:pStyle w:val="BodyText"/>
        <w:numPr>
          <w:ilvl w:val="0"/>
          <w:numId w:val="2"/>
        </w:numPr>
        <w:tabs>
          <w:tab w:val="clear" w:pos="708"/>
          <w:tab w:val="left" w:pos="0" w:leader="none"/>
        </w:tabs>
        <w:spacing w:lineRule="auto" w:line="240" w:before="0" w:after="160"/>
        <w:ind w:hanging="283" w:left="709" w:right="0"/>
        <w:rPr>
          <w:color w:val="000000"/>
        </w:rPr>
      </w:pPr>
      <w:r>
        <w:rPr>
          <w:b/>
          <w:color w:val="000000"/>
        </w:rPr>
        <w:t>Regla de Construcción (ASME Sec. VIII Div. I):</w:t>
      </w:r>
      <w:r>
        <w:rPr>
          <w:b w:val="false"/>
          <w:bCs w:val="false"/>
          <w:color w:val="000000"/>
        </w:rPr>
        <w:t xml:space="preserve"> Es el código principal de fabricación. Se selecciona por su simplicidad en el cálculo del espesor de pared (UG-27) y su alto Factor de Seguridad (FS≈3.5), lo que facilita la certificación </w:t>
      </w:r>
    </w:p>
    <w:p>
      <w:pPr>
        <w:pStyle w:val="BodyText"/>
        <w:numPr>
          <w:ilvl w:val="0"/>
          <w:numId w:val="2"/>
        </w:numPr>
        <w:tabs>
          <w:tab w:val="clear" w:pos="708"/>
          <w:tab w:val="left" w:pos="0" w:leader="none"/>
        </w:tabs>
        <w:spacing w:lineRule="auto" w:line="240" w:before="0" w:after="160"/>
        <w:ind w:hanging="283" w:left="709" w:right="0"/>
        <w:rPr>
          <w:color w:val="000000"/>
        </w:rPr>
      </w:pPr>
      <w:r>
        <w:rPr>
          <w:b/>
          <w:color w:val="000000"/>
        </w:rPr>
        <w:t>Análisis de Integridad (ASME Sec. VIII Div. II):</w:t>
      </w:r>
      <w:r>
        <w:rPr>
          <w:color w:val="000000"/>
        </w:rPr>
        <w:t xml:space="preserve"> </w:t>
      </w:r>
      <w:r>
        <w:rPr>
          <w:b w:val="false"/>
          <w:bCs w:val="false"/>
          <w:color w:val="000000"/>
        </w:rPr>
        <w:t>Sus principios se aplican en la Fase III para realizar un Análisis de Elementos Finitos (FEA) riguroso. Este FEA verifica la vida útil del recipiente por fatiga cíclica, utilizando los límites de tensión del material (SA-516 Gr 70) definidos en la ASME Sección II Parte D</w:t>
      </w:r>
    </w:p>
    <w:p>
      <w:pPr>
        <w:pStyle w:val="Heading3"/>
        <w:ind w:hanging="0" w:left="0"/>
        <w:rPr>
          <w:b/>
          <w:bCs/>
        </w:rPr>
      </w:pPr>
      <w:bookmarkStart w:id="18" w:name="__RefHeading___Toc4053_1275166574"/>
      <w:bookmarkEnd w:id="18"/>
      <w:r>
        <w:rPr>
          <w:b/>
          <w:bCs/>
          <w:color w:val="000000"/>
        </w:rPr>
        <w:t>Diseño Térmico</w:t>
      </w:r>
    </w:p>
    <w:p>
      <w:pPr>
        <w:pStyle w:val="BodyText"/>
        <w:spacing w:lineRule="auto" w:line="240" w:before="0" w:after="160"/>
        <w:rPr>
          <w:b w:val="false"/>
          <w:bCs w:val="false"/>
          <w:color w:val="000000"/>
        </w:rPr>
      </w:pPr>
      <w:r>
        <w:rPr>
          <w:b w:val="false"/>
          <w:bCs w:val="false"/>
          <w:color w:val="000000"/>
        </w:rPr>
        <w:t>El diseño térmico se justifica por la necesidad de superar la baja conductividad del polvo de hidruro (k_eff):</w:t>
      </w:r>
    </w:p>
    <w:p>
      <w:pPr>
        <w:pStyle w:val="BodyText"/>
        <w:numPr>
          <w:ilvl w:val="0"/>
          <w:numId w:val="11"/>
        </w:numPr>
        <w:tabs>
          <w:tab w:val="clear" w:pos="708"/>
          <w:tab w:val="left" w:pos="0" w:leader="none"/>
        </w:tabs>
        <w:spacing w:lineRule="auto" w:line="240" w:before="0" w:after="160"/>
        <w:ind w:hanging="283" w:left="709"/>
        <w:rPr>
          <w:color w:val="000000"/>
        </w:rPr>
      </w:pPr>
      <w:r>
        <w:rPr>
          <w:rStyle w:val="Strong"/>
          <w:b/>
          <w:bCs/>
          <w:color w:val="000000"/>
        </w:rPr>
        <w:t>Inmersión del intercambiador en el lecho</w:t>
      </w:r>
      <w:r>
        <w:rPr>
          <w:rStyle w:val="Strong"/>
          <w:b w:val="false"/>
          <w:bCs w:val="false"/>
          <w:color w:val="000000"/>
        </w:rPr>
        <w:t>:</w:t>
      </w:r>
      <w:r>
        <w:rPr>
          <w:b w:val="false"/>
          <w:bCs w:val="false"/>
          <w:color w:val="000000"/>
        </w:rPr>
        <w:t xml:space="preserve"> para minimizar distancias de conducción.</w:t>
      </w:r>
    </w:p>
    <w:p>
      <w:pPr>
        <w:pStyle w:val="BodyText"/>
        <w:numPr>
          <w:ilvl w:val="0"/>
          <w:numId w:val="11"/>
        </w:numPr>
        <w:tabs>
          <w:tab w:val="clear" w:pos="708"/>
          <w:tab w:val="left" w:pos="0" w:leader="none"/>
        </w:tabs>
        <w:spacing w:lineRule="auto" w:line="240" w:before="0" w:after="160"/>
        <w:ind w:hanging="283" w:left="709"/>
        <w:rPr>
          <w:color w:val="000000"/>
        </w:rPr>
      </w:pPr>
      <w:r>
        <w:rPr>
          <w:rStyle w:val="Strong"/>
          <w:b/>
          <w:bCs/>
          <w:color w:val="000000"/>
        </w:rPr>
        <w:t>Eficiencia geométrica:</w:t>
      </w:r>
      <w:r>
        <w:rPr>
          <w:b w:val="false"/>
          <w:bCs w:val="false"/>
          <w:color w:val="000000"/>
        </w:rPr>
        <w:t xml:space="preserve"> el </w:t>
      </w:r>
      <w:r>
        <w:rPr>
          <w:rStyle w:val="Strong"/>
          <w:b w:val="false"/>
          <w:bCs w:val="false"/>
          <w:color w:val="000000"/>
        </w:rPr>
        <w:t>serpentín helicoidal de tubería interna (316L, ¼–⅜ pulgadas)</w:t>
      </w:r>
      <w:r>
        <w:rPr>
          <w:b w:val="false"/>
          <w:bCs w:val="false"/>
          <w:color w:val="000000"/>
        </w:rPr>
        <w:t xml:space="preserve"> ofrece la mejor relación área superficial/volumen con bajo costo de fabricación y facilidad de sellado.</w:t>
      </w:r>
    </w:p>
    <w:p>
      <w:pPr>
        <w:pStyle w:val="Tabla"/>
        <w:rPr>
          <w:b w:val="false"/>
          <w:bCs w:val="false"/>
          <w:i w:val="false"/>
          <w:i w:val="false"/>
          <w:iCs w:val="false"/>
          <w:color w:val="000000"/>
        </w:rPr>
      </w:pPr>
      <w:r>
        <w:rPr>
          <w:b w:val="false"/>
          <w:bCs w:val="false"/>
          <w:i w:val="false"/>
          <w:iCs w:val="false"/>
          <w:color w:val="000000"/>
        </w:rPr>
        <w:t xml:space="preserve">para avanzar desde el diseño conceptual a la fabricación del prototipo de escala industrial, se requiere ejecutar las siguientes actividades a corto plazo para generar el primer diseño conceptual. </w:t>
      </w:r>
    </w:p>
    <w:p>
      <w:pPr>
        <w:pStyle w:val="Tabla"/>
        <w:rPr>
          <w:b w:val="false"/>
          <w:bCs w:val="false"/>
          <w:i w:val="false"/>
          <w:i w:val="false"/>
          <w:iCs w:val="false"/>
          <w:color w:val="000000"/>
        </w:rPr>
      </w:pPr>
      <w:r>
        <w:rPr>
          <w:b w:val="false"/>
          <w:bCs w:val="false"/>
          <w:i w:val="false"/>
          <w:iCs w:val="false"/>
          <w:color w:val="000000"/>
        </w:rPr>
      </w:r>
    </w:p>
    <w:tbl>
      <w:tblPr>
        <w:tblW w:w="8838" w:type="dxa"/>
        <w:jc w:val="left"/>
        <w:tblInd w:w="28" w:type="dxa"/>
        <w:tblLayout w:type="fixed"/>
        <w:tblCellMar>
          <w:top w:w="28" w:type="dxa"/>
          <w:left w:w="28" w:type="dxa"/>
          <w:bottom w:w="28" w:type="dxa"/>
          <w:right w:w="28" w:type="dxa"/>
        </w:tblCellMar>
      </w:tblPr>
      <w:tblGrid>
        <w:gridCol w:w="2206"/>
        <w:gridCol w:w="4173"/>
        <w:gridCol w:w="2459"/>
      </w:tblGrid>
      <w:tr>
        <w:trPr>
          <w:tblHeader w:val="true"/>
        </w:trPr>
        <w:tc>
          <w:tcPr>
            <w:tcW w:w="2206" w:type="dxa"/>
            <w:tcBorders/>
            <w:vAlign w:val="center"/>
          </w:tcPr>
          <w:p>
            <w:pPr>
              <w:pStyle w:val="Ttulodelatablauser"/>
              <w:keepNext w:val="true"/>
              <w:suppressLineNumbers/>
              <w:spacing w:before="0" w:after="160"/>
              <w:jc w:val="center"/>
              <w:rPr/>
            </w:pPr>
            <w:r>
              <w:rPr/>
              <w:t>Actividad</w:t>
            </w:r>
          </w:p>
        </w:tc>
        <w:tc>
          <w:tcPr>
            <w:tcW w:w="4173" w:type="dxa"/>
            <w:tcBorders/>
            <w:vAlign w:val="center"/>
          </w:tcPr>
          <w:p>
            <w:pPr>
              <w:pStyle w:val="Ttulodelatablauser"/>
              <w:suppressLineNumbers/>
              <w:spacing w:before="0" w:after="160"/>
              <w:jc w:val="center"/>
              <w:rPr/>
            </w:pPr>
            <w:r>
              <w:rPr/>
              <w:t>Objetivo</w:t>
            </w:r>
          </w:p>
        </w:tc>
        <w:tc>
          <w:tcPr>
            <w:tcW w:w="2459" w:type="dxa"/>
            <w:tcBorders/>
            <w:vAlign w:val="center"/>
          </w:tcPr>
          <w:p>
            <w:pPr>
              <w:pStyle w:val="Ttulodelatablauser"/>
              <w:suppressLineNumbers/>
              <w:spacing w:before="0" w:after="160"/>
              <w:jc w:val="center"/>
              <w:rPr/>
            </w:pPr>
            <w:r>
              <w:rPr/>
              <w:t>Referencia</w:t>
            </w:r>
          </w:p>
        </w:tc>
      </w:tr>
      <w:tr>
        <w:trPr/>
        <w:tc>
          <w:tcPr>
            <w:tcW w:w="2206" w:type="dxa"/>
            <w:tcBorders/>
            <w:vAlign w:val="center"/>
          </w:tcPr>
          <w:p>
            <w:pPr>
              <w:pStyle w:val="Contenidodelatablauser"/>
              <w:keepNext w:val="true"/>
              <w:widowControl w:val="false"/>
              <w:suppressLineNumbers/>
              <w:spacing w:before="0" w:after="160"/>
              <w:rPr/>
            </w:pPr>
            <w:r>
              <w:rPr/>
              <w:t>Cálculo del espesor mínimo</w:t>
            </w:r>
          </w:p>
        </w:tc>
        <w:tc>
          <w:tcPr>
            <w:tcW w:w="4173" w:type="dxa"/>
            <w:tcBorders/>
            <w:vAlign w:val="center"/>
          </w:tcPr>
          <w:p>
            <w:pPr>
              <w:pStyle w:val="Contenidodelatablauser"/>
              <w:widowControl w:val="false"/>
              <w:suppressLineNumbers/>
              <w:spacing w:before="0" w:after="160"/>
              <w:rPr/>
            </w:pPr>
            <w:r>
              <w:rPr/>
              <w:t>Determinar t_min según UG-27 para MAWP=1.2 MPa</w:t>
            </w:r>
          </w:p>
        </w:tc>
        <w:tc>
          <w:tcPr>
            <w:tcW w:w="2459" w:type="dxa"/>
            <w:tcBorders/>
            <w:vAlign w:val="center"/>
          </w:tcPr>
          <w:p>
            <w:pPr>
              <w:pStyle w:val="Contenidodelatablauser"/>
              <w:widowControl w:val="false"/>
              <w:suppressLineNumbers/>
              <w:spacing w:before="0" w:after="160"/>
              <w:rPr/>
            </w:pPr>
            <w:r>
              <w:rPr/>
              <w:t>ASME Sec. VIII Div. I</w:t>
            </w:r>
          </w:p>
        </w:tc>
      </w:tr>
      <w:tr>
        <w:trPr/>
        <w:tc>
          <w:tcPr>
            <w:tcW w:w="2206" w:type="dxa"/>
            <w:tcBorders/>
            <w:vAlign w:val="center"/>
          </w:tcPr>
          <w:p>
            <w:pPr>
              <w:pStyle w:val="Contenidodelatablauser"/>
              <w:keepNext w:val="true"/>
              <w:widowControl w:val="false"/>
              <w:suppressLineNumbers/>
              <w:spacing w:before="0" w:after="160"/>
              <w:rPr/>
            </w:pPr>
            <w:r>
              <w:rPr/>
              <w:t>Especificación de HTF y h</w:t>
            </w:r>
          </w:p>
        </w:tc>
        <w:tc>
          <w:tcPr>
            <w:tcW w:w="4173" w:type="dxa"/>
            <w:tcBorders/>
            <w:vAlign w:val="center"/>
          </w:tcPr>
          <w:p>
            <w:pPr>
              <w:pStyle w:val="Contenidodelatablauser"/>
              <w:widowControl w:val="false"/>
              <w:suppressLineNumbers/>
              <w:spacing w:before="0" w:after="160"/>
              <w:rPr/>
            </w:pPr>
            <w:r>
              <w:rPr/>
              <w:t>Seleccionar HTF (ej. glicol 50%) y calcular coeficiente convectivo h</w:t>
            </w:r>
          </w:p>
        </w:tc>
        <w:tc>
          <w:tcPr>
            <w:tcW w:w="2459" w:type="dxa"/>
            <w:tcBorders/>
            <w:vAlign w:val="center"/>
          </w:tcPr>
          <w:p>
            <w:pPr>
              <w:pStyle w:val="Contenidodelatablauser"/>
              <w:widowControl w:val="false"/>
              <w:suppressLineNumbers/>
              <w:spacing w:before="0" w:after="160"/>
              <w:rPr/>
            </w:pPr>
            <w:r>
              <w:rPr/>
              <w:t>Correlaciones de transferencia [4]</w:t>
            </w:r>
          </w:p>
        </w:tc>
      </w:tr>
      <w:tr>
        <w:trPr/>
        <w:tc>
          <w:tcPr>
            <w:tcW w:w="2206" w:type="dxa"/>
            <w:tcBorders/>
            <w:vAlign w:val="center"/>
          </w:tcPr>
          <w:p>
            <w:pPr>
              <w:pStyle w:val="Contenidodelatablauser"/>
              <w:keepNext w:val="true"/>
              <w:widowControl w:val="false"/>
              <w:suppressLineNumbers/>
              <w:spacing w:before="0" w:after="160"/>
              <w:rPr/>
            </w:pPr>
            <w:r>
              <w:rPr/>
              <w:t>Inputs de simulación FEA</w:t>
            </w:r>
          </w:p>
        </w:tc>
        <w:tc>
          <w:tcPr>
            <w:tcW w:w="4173" w:type="dxa"/>
            <w:tcBorders/>
            <w:vAlign w:val="center"/>
          </w:tcPr>
          <w:p>
            <w:pPr>
              <w:pStyle w:val="Contenidodelatablauser"/>
              <w:widowControl w:val="false"/>
              <w:suppressLineNumbers/>
              <w:spacing w:before="0" w:after="160"/>
              <w:rPr/>
            </w:pPr>
            <w:r>
              <w:rPr/>
              <w:t>Definir k_eff del TiFe y criterio de fatiga del SA-516</w:t>
            </w:r>
          </w:p>
        </w:tc>
        <w:tc>
          <w:tcPr>
            <w:tcW w:w="2459" w:type="dxa"/>
            <w:tcBorders/>
            <w:vAlign w:val="center"/>
          </w:tcPr>
          <w:p>
            <w:pPr>
              <w:pStyle w:val="Contenidodelatablauser"/>
              <w:widowControl w:val="false"/>
              <w:suppressLineNumbers/>
              <w:spacing w:before="0" w:after="160"/>
              <w:rPr/>
            </w:pPr>
            <w:r>
              <w:rPr/>
              <w:t>ASME Sec. II Parte D</w:t>
            </w:r>
          </w:p>
        </w:tc>
      </w:tr>
      <w:tr>
        <w:trPr/>
        <w:tc>
          <w:tcPr>
            <w:tcW w:w="2206" w:type="dxa"/>
            <w:tcBorders/>
            <w:vAlign w:val="center"/>
          </w:tcPr>
          <w:p>
            <w:pPr>
              <w:pStyle w:val="Contenidodelatablauser"/>
              <w:keepNext w:val="true"/>
              <w:widowControl w:val="false"/>
              <w:suppressLineNumbers/>
              <w:spacing w:before="0" w:after="160"/>
              <w:rPr/>
            </w:pPr>
            <w:r>
              <w:rPr/>
              <w:t>WPS y NDE</w:t>
            </w:r>
          </w:p>
        </w:tc>
        <w:tc>
          <w:tcPr>
            <w:tcW w:w="4173" w:type="dxa"/>
            <w:tcBorders/>
            <w:vAlign w:val="center"/>
          </w:tcPr>
          <w:p>
            <w:pPr>
              <w:pStyle w:val="Contenidodelatablauser"/>
              <w:widowControl w:val="false"/>
              <w:suppressLineNumbers/>
              <w:spacing w:before="0" w:after="160"/>
              <w:rPr/>
            </w:pPr>
            <w:r>
              <w:rPr/>
              <w:t>Elaborar procedimiento de soldadura (WPS) y plan de Ensayos No Destructivos</w:t>
            </w:r>
          </w:p>
        </w:tc>
        <w:tc>
          <w:tcPr>
            <w:tcW w:w="2459" w:type="dxa"/>
            <w:tcBorders/>
            <w:vAlign w:val="center"/>
          </w:tcPr>
          <w:p>
            <w:pPr>
              <w:pStyle w:val="Contenidodelatablauser"/>
              <w:widowControl w:val="false"/>
              <w:suppressLineNumbers/>
              <w:spacing w:before="0" w:after="160"/>
              <w:rPr/>
            </w:pPr>
            <w:r>
              <w:rPr/>
              <w:t>ASME Sec. IX y Sec. V</w:t>
            </w:r>
          </w:p>
        </w:tc>
      </w:tr>
    </w:tbl>
    <w:p>
      <w:pPr>
        <w:pStyle w:val="Tablauser"/>
        <w:rPr/>
      </w:pPr>
      <w:r>
        <w:rPr/>
        <w:t xml:space="preserve">Tabla </w:t>
      </w:r>
      <w:r>
        <w:rPr/>
        <w:fldChar w:fldCharType="begin"/>
      </w:r>
      <w:r>
        <w:rPr/>
        <w:instrText xml:space="preserve"> SEQ Tabla \* ARABIC </w:instrText>
      </w:r>
      <w:r>
        <w:rPr/>
        <w:fldChar w:fldCharType="separate"/>
      </w:r>
      <w:r>
        <w:rPr/>
        <w:t>5</w:t>
      </w:r>
      <w:r>
        <w:rPr/>
        <w:fldChar w:fldCharType="end"/>
      </w:r>
      <w:r>
        <w:rPr/>
        <w:t>: Actividades próximas a ejecutar en el diseño del prototipo MHR-AB</w:t>
      </w:r>
    </w:p>
    <w:p>
      <w:pPr>
        <w:pStyle w:val="Heading3"/>
        <w:ind w:hanging="0" w:left="0"/>
        <w:rPr>
          <w:b/>
          <w:bCs/>
        </w:rPr>
      </w:pPr>
      <w:bookmarkStart w:id="19" w:name="__RefHeading___Toc4055_1275166574"/>
      <w:bookmarkEnd w:id="19"/>
      <w:r>
        <w:rPr>
          <w:b/>
          <w:bCs/>
          <w:color w:val="000000"/>
        </w:rPr>
        <w:t>Cálculo Básico de Espesor (ASME UG-27)</w:t>
      </w:r>
    </w:p>
    <w:p>
      <w:pPr>
        <w:pStyle w:val="Normal"/>
        <w:rPr/>
      </w:pPr>
      <w:r>
        <w:rPr>
          <w:b w:val="false"/>
          <w:bCs w:val="false"/>
          <w:color w:val="000000"/>
        </w:rPr>
        <w:t>De acuerdo con ASME Sec. VIII Div. I, UG-27, el espesor mínimo de pared se calculó para las condiciones de diseño.</w:t>
      </w:r>
    </w:p>
    <w:tbl>
      <w:tblPr>
        <w:tblW w:w="8263" w:type="dxa"/>
        <w:jc w:val="left"/>
        <w:tblInd w:w="28" w:type="dxa"/>
        <w:tblLayout w:type="fixed"/>
        <w:tblCellMar>
          <w:top w:w="28" w:type="dxa"/>
          <w:left w:w="28" w:type="dxa"/>
          <w:bottom w:w="28" w:type="dxa"/>
          <w:right w:w="28" w:type="dxa"/>
        </w:tblCellMar>
      </w:tblPr>
      <w:tblGrid>
        <w:gridCol w:w="2915"/>
        <w:gridCol w:w="2930"/>
        <w:gridCol w:w="2418"/>
      </w:tblGrid>
      <w:tr>
        <w:trPr>
          <w:tblHeader w:val="true"/>
        </w:trPr>
        <w:tc>
          <w:tcPr>
            <w:tcW w:w="2915" w:type="dxa"/>
            <w:tcBorders/>
            <w:vAlign w:val="center"/>
          </w:tcPr>
          <w:p>
            <w:pPr>
              <w:pStyle w:val="Ttulodelatablauser"/>
              <w:keepNext w:val="true"/>
              <w:suppressLineNumbers/>
              <w:spacing w:before="0" w:after="160"/>
              <w:jc w:val="center"/>
              <w:rPr/>
            </w:pPr>
            <w:r>
              <w:rPr/>
              <w:t>Parámetro de diseño</w:t>
            </w:r>
          </w:p>
        </w:tc>
        <w:tc>
          <w:tcPr>
            <w:tcW w:w="2930" w:type="dxa"/>
            <w:tcBorders/>
            <w:vAlign w:val="center"/>
          </w:tcPr>
          <w:p>
            <w:pPr>
              <w:pStyle w:val="Ttulodelatablauser"/>
              <w:suppressLineNumbers/>
              <w:spacing w:before="0" w:after="160"/>
              <w:jc w:val="center"/>
              <w:rPr/>
            </w:pPr>
            <w:r>
              <w:rPr/>
              <w:t>Valor</w:t>
            </w:r>
          </w:p>
        </w:tc>
        <w:tc>
          <w:tcPr>
            <w:tcW w:w="2418" w:type="dxa"/>
            <w:tcBorders/>
            <w:vAlign w:val="center"/>
          </w:tcPr>
          <w:p>
            <w:pPr>
              <w:pStyle w:val="Ttulodelatablauser"/>
              <w:suppressLineNumbers/>
              <w:spacing w:before="0" w:after="160"/>
              <w:jc w:val="center"/>
              <w:rPr/>
            </w:pPr>
            <w:r>
              <w:rPr/>
              <w:t>Norma</w:t>
            </w:r>
          </w:p>
        </w:tc>
      </w:tr>
      <w:tr>
        <w:trPr/>
        <w:tc>
          <w:tcPr>
            <w:tcW w:w="2915" w:type="dxa"/>
            <w:tcBorders/>
            <w:vAlign w:val="center"/>
          </w:tcPr>
          <w:p>
            <w:pPr>
              <w:pStyle w:val="Contenidodelatablauser"/>
              <w:keepNext w:val="true"/>
              <w:widowControl w:val="false"/>
              <w:suppressLineNumbers/>
              <w:spacing w:before="0" w:after="160"/>
              <w:rPr/>
            </w:pPr>
            <w:r>
              <w:rPr>
                <w:rStyle w:val="Strong"/>
              </w:rPr>
              <w:t>Material recipiente</w:t>
            </w:r>
          </w:p>
        </w:tc>
        <w:tc>
          <w:tcPr>
            <w:tcW w:w="2930" w:type="dxa"/>
            <w:tcBorders/>
            <w:vAlign w:val="center"/>
          </w:tcPr>
          <w:p>
            <w:pPr>
              <w:pStyle w:val="Contenidodelatablauser"/>
              <w:widowControl w:val="false"/>
              <w:suppressLineNumbers/>
              <w:spacing w:before="0" w:after="160"/>
              <w:rPr/>
            </w:pPr>
            <w:r>
              <w:rPr/>
              <w:t>SA-516 Grado 70</w:t>
            </w:r>
          </w:p>
        </w:tc>
        <w:tc>
          <w:tcPr>
            <w:tcW w:w="2418" w:type="dxa"/>
            <w:tcBorders/>
            <w:vAlign w:val="center"/>
          </w:tcPr>
          <w:p>
            <w:pPr>
              <w:pStyle w:val="Contenidodelatablauser"/>
              <w:widowControl w:val="false"/>
              <w:suppressLineNumbers/>
              <w:spacing w:before="0" w:after="160"/>
              <w:rPr/>
            </w:pPr>
            <w:r>
              <w:rPr/>
              <w:t>ASME Sec. II Parte A</w:t>
            </w:r>
          </w:p>
        </w:tc>
      </w:tr>
      <w:tr>
        <w:trPr/>
        <w:tc>
          <w:tcPr>
            <w:tcW w:w="2915" w:type="dxa"/>
            <w:tcBorders/>
            <w:vAlign w:val="center"/>
          </w:tcPr>
          <w:p>
            <w:pPr>
              <w:pStyle w:val="Contenidodelatablauser"/>
              <w:keepNext w:val="true"/>
              <w:widowControl w:val="false"/>
              <w:suppressLineNumbers/>
              <w:spacing w:before="0" w:after="160"/>
              <w:rPr/>
            </w:pPr>
            <w:r>
              <w:rPr>
                <w:rStyle w:val="Strong"/>
              </w:rPr>
              <w:t>MAWP</w:t>
            </w:r>
          </w:p>
        </w:tc>
        <w:tc>
          <w:tcPr>
            <w:tcW w:w="2930" w:type="dxa"/>
            <w:tcBorders/>
            <w:vAlign w:val="center"/>
          </w:tcPr>
          <w:p>
            <w:pPr>
              <w:pStyle w:val="Contenidodelatablauser"/>
              <w:widowControl w:val="false"/>
              <w:suppressLineNumbers/>
              <w:spacing w:before="0" w:after="160"/>
              <w:rPr/>
            </w:pPr>
            <w:r>
              <w:rPr/>
              <w:t>1.2 MPa (≈174 psig)</w:t>
            </w:r>
          </w:p>
        </w:tc>
        <w:tc>
          <w:tcPr>
            <w:tcW w:w="2418" w:type="dxa"/>
            <w:tcBorders/>
            <w:vAlign w:val="center"/>
          </w:tcPr>
          <w:p>
            <w:pPr>
              <w:pStyle w:val="Contenidodelatablauser"/>
              <w:widowControl w:val="false"/>
              <w:suppressLineNumbers/>
              <w:spacing w:before="0" w:after="160"/>
              <w:rPr/>
            </w:pPr>
            <w:r>
              <w:rPr/>
              <w:t>Criterio de diseño</w:t>
            </w:r>
          </w:p>
        </w:tc>
      </w:tr>
      <w:tr>
        <w:trPr/>
        <w:tc>
          <w:tcPr>
            <w:tcW w:w="2915" w:type="dxa"/>
            <w:tcBorders/>
            <w:vAlign w:val="center"/>
          </w:tcPr>
          <w:p>
            <w:pPr>
              <w:pStyle w:val="Contenidodelatablauser"/>
              <w:keepNext w:val="true"/>
              <w:widowControl w:val="false"/>
              <w:suppressLineNumbers/>
              <w:spacing w:before="0" w:after="160"/>
              <w:rPr/>
            </w:pPr>
            <w:r>
              <w:rPr>
                <w:rStyle w:val="Strong"/>
              </w:rPr>
              <w:t>Tensión admisible (S)</w:t>
            </w:r>
          </w:p>
        </w:tc>
        <w:tc>
          <w:tcPr>
            <w:tcW w:w="2930" w:type="dxa"/>
            <w:tcBorders/>
            <w:vAlign w:val="center"/>
          </w:tcPr>
          <w:p>
            <w:pPr>
              <w:pStyle w:val="Contenidodelatablauser"/>
              <w:widowControl w:val="false"/>
              <w:suppressLineNumbers/>
              <w:spacing w:before="0" w:after="160"/>
              <w:rPr/>
            </w:pPr>
            <w:r>
              <w:rPr/>
              <w:t>≈</w:t>
            </w:r>
            <w:r>
              <w:rPr/>
              <w:t>138 MPa (20 ksi a 80 °C)</w:t>
            </w:r>
          </w:p>
        </w:tc>
        <w:tc>
          <w:tcPr>
            <w:tcW w:w="2418" w:type="dxa"/>
            <w:tcBorders/>
            <w:vAlign w:val="center"/>
          </w:tcPr>
          <w:p>
            <w:pPr>
              <w:pStyle w:val="Contenidodelatablauser"/>
              <w:widowControl w:val="false"/>
              <w:suppressLineNumbers/>
              <w:spacing w:before="0" w:after="160"/>
              <w:rPr/>
            </w:pPr>
            <w:r>
              <w:rPr/>
              <w:t>ASME Sec. II Parte D</w:t>
            </w:r>
          </w:p>
        </w:tc>
      </w:tr>
      <w:tr>
        <w:trPr/>
        <w:tc>
          <w:tcPr>
            <w:tcW w:w="2915" w:type="dxa"/>
            <w:tcBorders/>
            <w:vAlign w:val="center"/>
          </w:tcPr>
          <w:p>
            <w:pPr>
              <w:pStyle w:val="Contenidodelatablauser"/>
              <w:keepNext w:val="true"/>
              <w:widowControl w:val="false"/>
              <w:suppressLineNumbers/>
              <w:spacing w:before="0" w:after="160"/>
              <w:rPr/>
            </w:pPr>
            <w:r>
              <w:rPr>
                <w:rStyle w:val="Strong"/>
              </w:rPr>
              <w:t>Radio interno (R)</w:t>
            </w:r>
          </w:p>
        </w:tc>
        <w:tc>
          <w:tcPr>
            <w:tcW w:w="2930" w:type="dxa"/>
            <w:tcBorders/>
            <w:vAlign w:val="center"/>
          </w:tcPr>
          <w:p>
            <w:pPr>
              <w:pStyle w:val="Contenidodelatablauser"/>
              <w:widowControl w:val="false"/>
              <w:suppressLineNumbers/>
              <w:spacing w:before="0" w:after="160"/>
              <w:rPr/>
            </w:pPr>
            <w:r>
              <w:rPr/>
              <w:t>150 mm (ID = 300 mm)</w:t>
            </w:r>
          </w:p>
        </w:tc>
        <w:tc>
          <w:tcPr>
            <w:tcW w:w="2418" w:type="dxa"/>
            <w:tcBorders/>
            <w:vAlign w:val="center"/>
          </w:tcPr>
          <w:p>
            <w:pPr>
              <w:pStyle w:val="Contenidodelatablauser"/>
              <w:widowControl w:val="false"/>
              <w:suppressLineNumbers/>
              <w:spacing w:before="0" w:after="160"/>
              <w:rPr/>
            </w:pPr>
            <w:r>
              <w:rPr/>
              <w:t>–</w:t>
            </w:r>
          </w:p>
        </w:tc>
      </w:tr>
      <w:tr>
        <w:trPr/>
        <w:tc>
          <w:tcPr>
            <w:tcW w:w="2915" w:type="dxa"/>
            <w:tcBorders/>
            <w:vAlign w:val="center"/>
          </w:tcPr>
          <w:p>
            <w:pPr>
              <w:pStyle w:val="Contenidodelatablauser"/>
              <w:keepNext w:val="true"/>
              <w:widowControl w:val="false"/>
              <w:suppressLineNumbers/>
              <w:spacing w:before="0" w:after="160"/>
              <w:rPr/>
            </w:pPr>
            <w:r>
              <w:rPr>
                <w:rStyle w:val="Strong"/>
              </w:rPr>
              <w:t>Espesor mínimo (t_min)</w:t>
            </w:r>
          </w:p>
        </w:tc>
        <w:tc>
          <w:tcPr>
            <w:tcW w:w="2930" w:type="dxa"/>
            <w:tcBorders/>
            <w:vAlign w:val="center"/>
          </w:tcPr>
          <w:p>
            <w:pPr>
              <w:pStyle w:val="Contenidodelatablauser"/>
              <w:widowControl w:val="false"/>
              <w:suppressLineNumbers/>
              <w:spacing w:before="0" w:after="160"/>
              <w:rPr/>
            </w:pPr>
            <w:r>
              <w:rPr/>
              <w:t>1.31 mm (estimado)</w:t>
            </w:r>
          </w:p>
        </w:tc>
        <w:tc>
          <w:tcPr>
            <w:tcW w:w="2418" w:type="dxa"/>
            <w:tcBorders/>
            <w:vAlign w:val="center"/>
          </w:tcPr>
          <w:p>
            <w:pPr>
              <w:pStyle w:val="Contenidodelatablauser"/>
              <w:widowControl w:val="false"/>
              <w:suppressLineNumbers/>
              <w:spacing w:before="0" w:after="160"/>
              <w:rPr/>
            </w:pPr>
            <w:r>
              <w:rPr/>
              <w:t>UG-27</w:t>
            </w:r>
          </w:p>
        </w:tc>
      </w:tr>
    </w:tbl>
    <w:p>
      <w:pPr>
        <w:pStyle w:val="Tablauser"/>
        <w:rPr/>
      </w:pPr>
      <w:r>
        <w:rPr/>
        <w:t xml:space="preserve">Tabla </w:t>
      </w:r>
      <w:r>
        <w:rPr/>
        <w:fldChar w:fldCharType="begin"/>
      </w:r>
      <w:r>
        <w:rPr/>
        <w:instrText xml:space="preserve"> SEQ Tabla \* ARABIC </w:instrText>
      </w:r>
      <w:r>
        <w:rPr/>
        <w:fldChar w:fldCharType="separate"/>
      </w:r>
      <w:r>
        <w:rPr/>
        <w:t>6</w:t>
      </w:r>
      <w:r>
        <w:rPr/>
        <w:fldChar w:fldCharType="end"/>
      </w:r>
      <w:r>
        <w:rPr/>
        <w:t>: Cálculo básico de espesor (ASME UG-27)</w:t>
      </w:r>
    </w:p>
    <w:p>
      <w:pPr>
        <w:pStyle w:val="Tabla"/>
        <w:ind w:hanging="0" w:left="0" w:right="0"/>
        <w:rPr>
          <w:i w:val="false"/>
          <w:i w:val="false"/>
          <w:iCs w:val="false"/>
          <w:color w:val="000000"/>
        </w:rPr>
      </w:pPr>
      <w:r>
        <w:rPr>
          <w:i w:val="false"/>
          <w:iCs w:val="false"/>
          <w:color w:val="000000"/>
        </w:rPr>
        <w:t>El espesor calculado de 1.31 mm es solo el mínimo teórico. Se seleccionará un espesor comercialmente disponible (3.0 mm o 4.0 mm) para facilitar la soldadura y añadir un margen de seguridad frente a corrosión/erosión.</w:t>
      </w:r>
    </w:p>
    <w:p>
      <w:pPr>
        <w:pStyle w:val="Heading3"/>
        <w:ind w:hanging="0" w:left="0"/>
        <w:rPr>
          <w:b/>
          <w:bCs/>
        </w:rPr>
      </w:pPr>
      <w:bookmarkStart w:id="20" w:name="__RefHeading___Toc4061_1275166574"/>
      <w:bookmarkEnd w:id="20"/>
      <w:r>
        <w:rPr>
          <w:b/>
          <w:bCs/>
          <w:color w:val="000000"/>
        </w:rPr>
        <w:t xml:space="preserve">Próximos avances </w:t>
      </w:r>
    </w:p>
    <w:p>
      <w:pPr>
        <w:pStyle w:val="BodyText"/>
        <w:rPr>
          <w:color w:val="000000"/>
        </w:rPr>
      </w:pPr>
      <w:r>
        <w:rPr>
          <w:color w:val="000000"/>
        </w:rPr>
        <w:t>Los retos inmediatos en la transición hacia el prototipo de escala piloto incluyen:</w:t>
      </w:r>
    </w:p>
    <w:p>
      <w:pPr>
        <w:pStyle w:val="BodyText"/>
        <w:numPr>
          <w:ilvl w:val="0"/>
          <w:numId w:val="12"/>
        </w:numPr>
        <w:tabs>
          <w:tab w:val="clear" w:pos="708"/>
          <w:tab w:val="left" w:pos="0" w:leader="none"/>
        </w:tabs>
        <w:spacing w:lineRule="auto" w:line="240" w:before="0" w:after="160"/>
        <w:ind w:hanging="283" w:left="709"/>
        <w:rPr>
          <w:color w:val="000000"/>
        </w:rPr>
      </w:pPr>
      <w:r>
        <w:rPr>
          <w:rStyle w:val="Strong"/>
          <w:color w:val="000000"/>
        </w:rPr>
        <w:t>Optimización de la activación:</w:t>
      </w:r>
      <w:r>
        <w:rPr>
          <w:color w:val="000000"/>
        </w:rPr>
        <w:t xml:space="preserve"> reducir los tiempos de activación desde 284 h (prototipo de 55 kg [1]) a valores industrialmente viables.</w:t>
      </w:r>
    </w:p>
    <w:p>
      <w:pPr>
        <w:pStyle w:val="BodyText"/>
        <w:numPr>
          <w:ilvl w:val="0"/>
          <w:numId w:val="12"/>
        </w:numPr>
        <w:tabs>
          <w:tab w:val="clear" w:pos="708"/>
          <w:tab w:val="left" w:pos="0" w:leader="none"/>
        </w:tabs>
        <w:spacing w:lineRule="auto" w:line="240" w:before="0" w:after="160"/>
        <w:ind w:hanging="283" w:left="709"/>
        <w:rPr>
          <w:color w:val="000000"/>
        </w:rPr>
      </w:pPr>
      <w:r>
        <w:rPr>
          <w:rStyle w:val="Strong"/>
          <w:color w:val="000000"/>
        </w:rPr>
        <w:t>Uniformidad térmica:</w:t>
      </w:r>
      <w:r>
        <w:rPr>
          <w:color w:val="000000"/>
        </w:rPr>
        <w:t xml:space="preserve"> validación con FEA de la distribución de temperatura en el lecho, evitando sobrecalentamientos locales.</w:t>
      </w:r>
    </w:p>
    <w:p>
      <w:pPr>
        <w:pStyle w:val="BodyText"/>
        <w:numPr>
          <w:ilvl w:val="0"/>
          <w:numId w:val="12"/>
        </w:numPr>
        <w:tabs>
          <w:tab w:val="clear" w:pos="708"/>
          <w:tab w:val="left" w:pos="0" w:leader="none"/>
        </w:tabs>
        <w:spacing w:lineRule="auto" w:line="240" w:before="0" w:after="160"/>
        <w:ind w:hanging="283" w:left="709"/>
        <w:rPr>
          <w:color w:val="000000"/>
        </w:rPr>
      </w:pPr>
      <w:r>
        <w:rPr>
          <w:rStyle w:val="Strong"/>
          <w:color w:val="000000"/>
        </w:rPr>
        <w:t>Conformidad normativa:</w:t>
      </w:r>
      <w:r>
        <w:rPr>
          <w:color w:val="000000"/>
        </w:rPr>
        <w:t xml:space="preserve"> definición y ejecución de un plan de ensayos no destructivos (NDE) en soldaduras críticas.</w:t>
      </w:r>
    </w:p>
    <w:tbl>
      <w:tblPr>
        <w:tblW w:w="8838" w:type="dxa"/>
        <w:jc w:val="left"/>
        <w:tblInd w:w="28" w:type="dxa"/>
        <w:tblLayout w:type="fixed"/>
        <w:tblCellMar>
          <w:top w:w="28" w:type="dxa"/>
          <w:left w:w="28" w:type="dxa"/>
          <w:bottom w:w="28" w:type="dxa"/>
          <w:right w:w="28" w:type="dxa"/>
        </w:tblCellMar>
      </w:tblPr>
      <w:tblGrid>
        <w:gridCol w:w="1846"/>
        <w:gridCol w:w="4442"/>
        <w:gridCol w:w="2550"/>
      </w:tblGrid>
      <w:tr>
        <w:trPr>
          <w:tblHeader w:val="true"/>
        </w:trPr>
        <w:tc>
          <w:tcPr>
            <w:tcW w:w="1846" w:type="dxa"/>
            <w:tcBorders/>
            <w:vAlign w:val="center"/>
          </w:tcPr>
          <w:p>
            <w:pPr>
              <w:pStyle w:val="Ttulodelatablauser"/>
              <w:keepNext w:val="true"/>
              <w:suppressLineNumbers/>
              <w:spacing w:before="0" w:after="160"/>
              <w:jc w:val="center"/>
              <w:rPr/>
            </w:pPr>
            <w:r>
              <w:rPr/>
              <w:t>Aspecto</w:t>
            </w:r>
          </w:p>
        </w:tc>
        <w:tc>
          <w:tcPr>
            <w:tcW w:w="4442" w:type="dxa"/>
            <w:tcBorders/>
            <w:vAlign w:val="center"/>
          </w:tcPr>
          <w:p>
            <w:pPr>
              <w:pStyle w:val="Ttulodelatablauser"/>
              <w:suppressLineNumbers/>
              <w:spacing w:before="0" w:after="160"/>
              <w:jc w:val="center"/>
              <w:rPr/>
            </w:pPr>
            <w:r>
              <w:rPr/>
              <w:t>Avance consolidado</w:t>
            </w:r>
          </w:p>
        </w:tc>
        <w:tc>
          <w:tcPr>
            <w:tcW w:w="2550" w:type="dxa"/>
            <w:tcBorders/>
            <w:vAlign w:val="center"/>
          </w:tcPr>
          <w:p>
            <w:pPr>
              <w:pStyle w:val="Ttulodelatablauser"/>
              <w:suppressLineNumbers/>
              <w:spacing w:before="0" w:after="160"/>
              <w:jc w:val="center"/>
              <w:rPr/>
            </w:pPr>
            <w:r>
              <w:rPr/>
              <w:t>Reto de escalado</w:t>
            </w:r>
          </w:p>
        </w:tc>
      </w:tr>
      <w:tr>
        <w:trPr/>
        <w:tc>
          <w:tcPr>
            <w:tcW w:w="1846" w:type="dxa"/>
            <w:tcBorders/>
            <w:vAlign w:val="center"/>
          </w:tcPr>
          <w:p>
            <w:pPr>
              <w:pStyle w:val="Contenidodelatablauser"/>
              <w:keepNext w:val="true"/>
              <w:widowControl w:val="false"/>
              <w:suppressLineNumbers/>
              <w:spacing w:before="0" w:after="160"/>
              <w:rPr/>
            </w:pPr>
            <w:r>
              <w:rPr>
                <w:rStyle w:val="Strong"/>
              </w:rPr>
              <w:t>Operabilidad</w:t>
            </w:r>
          </w:p>
        </w:tc>
        <w:tc>
          <w:tcPr>
            <w:tcW w:w="4442" w:type="dxa"/>
            <w:tcBorders/>
            <w:vAlign w:val="center"/>
          </w:tcPr>
          <w:p>
            <w:pPr>
              <w:pStyle w:val="Contenidodelatablauser"/>
              <w:widowControl w:val="false"/>
              <w:suppressLineNumbers/>
              <w:spacing w:before="0" w:after="160"/>
              <w:rPr/>
            </w:pPr>
            <w:r>
              <w:rPr/>
              <w:t>Definidas condiciones suaves (1.0 MPa, 60–80 °C) y materiales SA-516 + 316L</w:t>
            </w:r>
          </w:p>
        </w:tc>
        <w:tc>
          <w:tcPr>
            <w:tcW w:w="2550" w:type="dxa"/>
            <w:tcBorders/>
            <w:vAlign w:val="center"/>
          </w:tcPr>
          <w:p>
            <w:pPr>
              <w:pStyle w:val="Contenidodelatablauser"/>
              <w:widowControl w:val="false"/>
              <w:suppressLineNumbers/>
              <w:spacing w:before="0" w:after="160"/>
              <w:rPr/>
            </w:pPr>
            <w:r>
              <w:rPr/>
              <w:t>Optimización de la activación</w:t>
            </w:r>
          </w:p>
        </w:tc>
      </w:tr>
      <w:tr>
        <w:trPr/>
        <w:tc>
          <w:tcPr>
            <w:tcW w:w="1846" w:type="dxa"/>
            <w:tcBorders/>
            <w:vAlign w:val="center"/>
          </w:tcPr>
          <w:p>
            <w:pPr>
              <w:pStyle w:val="Contenidodelatablauser"/>
              <w:keepNext w:val="true"/>
              <w:widowControl w:val="false"/>
              <w:suppressLineNumbers/>
              <w:spacing w:before="0" w:after="160"/>
              <w:rPr/>
            </w:pPr>
            <w:r>
              <w:rPr>
                <w:rStyle w:val="Strong"/>
              </w:rPr>
              <w:t>Gestión del calor</w:t>
            </w:r>
          </w:p>
        </w:tc>
        <w:tc>
          <w:tcPr>
            <w:tcW w:w="4442" w:type="dxa"/>
            <w:tcBorders/>
            <w:vAlign w:val="center"/>
          </w:tcPr>
          <w:p>
            <w:pPr>
              <w:pStyle w:val="Contenidodelatablauser"/>
              <w:widowControl w:val="false"/>
              <w:suppressLineNumbers/>
              <w:spacing w:before="0" w:after="160"/>
              <w:rPr/>
            </w:pPr>
            <w:r>
              <w:rPr/>
              <w:t>Justificado el serpentín interno en 316L como la solución más costo-eficiente</w:t>
            </w:r>
          </w:p>
        </w:tc>
        <w:tc>
          <w:tcPr>
            <w:tcW w:w="2550" w:type="dxa"/>
            <w:tcBorders/>
            <w:vAlign w:val="center"/>
          </w:tcPr>
          <w:p>
            <w:pPr>
              <w:pStyle w:val="Contenidodelatablauser"/>
              <w:widowControl w:val="false"/>
              <w:suppressLineNumbers/>
              <w:spacing w:before="0" w:after="160"/>
              <w:rPr/>
            </w:pPr>
            <w:r>
              <w:rPr/>
              <w:t>Uniformidad térmica en escala</w:t>
            </w:r>
          </w:p>
        </w:tc>
      </w:tr>
      <w:tr>
        <w:trPr/>
        <w:tc>
          <w:tcPr>
            <w:tcW w:w="1846" w:type="dxa"/>
            <w:tcBorders/>
            <w:vAlign w:val="center"/>
          </w:tcPr>
          <w:p>
            <w:pPr>
              <w:pStyle w:val="Contenidodelatablauser"/>
              <w:keepNext w:val="true"/>
              <w:widowControl w:val="false"/>
              <w:suppressLineNumbers/>
              <w:spacing w:before="0" w:after="160"/>
              <w:rPr/>
            </w:pPr>
            <w:r>
              <w:rPr>
                <w:rStyle w:val="Strong"/>
              </w:rPr>
              <w:t>Normativa</w:t>
            </w:r>
          </w:p>
        </w:tc>
        <w:tc>
          <w:tcPr>
            <w:tcW w:w="4442" w:type="dxa"/>
            <w:tcBorders/>
            <w:vAlign w:val="center"/>
          </w:tcPr>
          <w:p>
            <w:pPr>
              <w:pStyle w:val="Contenidodelatablauser"/>
              <w:widowControl w:val="false"/>
              <w:suppressLineNumbers/>
              <w:spacing w:before="0" w:after="160"/>
              <w:rPr/>
            </w:pPr>
            <w:r>
              <w:rPr/>
              <w:t>Materiales seleccionados bajo ASME Sec. II y certificación bajo Div. I</w:t>
            </w:r>
          </w:p>
        </w:tc>
        <w:tc>
          <w:tcPr>
            <w:tcW w:w="2550" w:type="dxa"/>
            <w:tcBorders/>
            <w:vAlign w:val="center"/>
          </w:tcPr>
          <w:p>
            <w:pPr>
              <w:pStyle w:val="Contenidodelatablauser"/>
              <w:widowControl w:val="false"/>
              <w:suppressLineNumbers/>
              <w:spacing w:before="0" w:after="160"/>
              <w:rPr/>
            </w:pPr>
            <w:r>
              <w:rPr/>
              <w:t>Ensayos NDE en uniones soldadas</w:t>
            </w:r>
          </w:p>
        </w:tc>
      </w:tr>
    </w:tbl>
    <w:p>
      <w:pPr>
        <w:pStyle w:val="Tablauser"/>
        <w:rPr/>
      </w:pPr>
      <w:r>
        <w:rPr/>
        <w:t xml:space="preserve">Tabla </w:t>
      </w:r>
      <w:r>
        <w:rPr/>
        <w:fldChar w:fldCharType="begin"/>
      </w:r>
      <w:r>
        <w:rPr/>
        <w:instrText xml:space="preserve"> SEQ Tabla \* ARABIC </w:instrText>
      </w:r>
      <w:r>
        <w:rPr/>
        <w:fldChar w:fldCharType="separate"/>
      </w:r>
      <w:r>
        <w:rPr/>
        <w:t>7</w:t>
      </w:r>
      <w:r>
        <w:rPr/>
        <w:fldChar w:fldCharType="end"/>
      </w:r>
      <w:r>
        <w:rPr/>
        <w:t>: Avances consolidados y próximos retos de escalado</w:t>
      </w:r>
    </w:p>
    <w:p>
      <w:pPr>
        <w:pStyle w:val="Heading2"/>
        <w:ind w:hanging="576" w:left="1284"/>
        <w:rPr>
          <w:color w:val="000000"/>
        </w:rPr>
      </w:pPr>
      <w:bookmarkStart w:id="21" w:name="__RefHeading___Toc1447_3807646603"/>
      <w:bookmarkStart w:id="22" w:name="_Toc207791232"/>
      <w:bookmarkEnd w:id="21"/>
      <w:r>
        <w:rPr>
          <w:color w:val="000000"/>
        </w:rPr>
        <w:t>Referencias</w:t>
      </w:r>
      <w:bookmarkEnd w:id="22"/>
    </w:p>
    <w:p>
      <w:p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701" w:right="1701" w:gutter="0" w:header="624" w:top="1417" w:footer="624" w:bottom="1417"/>
          <w:pgNumType w:fmt="decimal"/>
          <w:formProt w:val="false"/>
          <w:titlePg/>
          <w:textDirection w:val="lrTb"/>
          <w:docGrid w:type="default" w:linePitch="360" w:charSpace="0"/>
        </w:sectPr>
      </w:pPr>
    </w:p>
    <w:p>
      <w:pPr>
        <w:pStyle w:val="Bibliografa1"/>
        <w:rPr>
          <w:color w:val="000000"/>
        </w:rPr>
      </w:pPr>
      <w:r>
        <w:rPr>
          <w:color w:val="000000"/>
        </w:rPr>
        <w:t>[1]</w:t>
        <w:tab/>
        <w:t xml:space="preserve">Z. Dong </w:t>
      </w:r>
      <w:r>
        <w:rPr>
          <w:i/>
          <w:color w:val="000000"/>
        </w:rPr>
        <w:t>et al.</w:t>
      </w:r>
      <w:r>
        <w:rPr>
          <w:color w:val="000000"/>
        </w:rPr>
        <w:t xml:space="preserve">, «A design methodology of large-scale metal hydride reactor based on schematization for hydrogen storage», </w:t>
      </w:r>
      <w:r>
        <w:rPr>
          <w:i/>
          <w:color w:val="000000"/>
        </w:rPr>
        <w:t>J. Energy Storage</w:t>
      </w:r>
      <w:r>
        <w:rPr>
          <w:color w:val="000000"/>
        </w:rPr>
        <w:t>, vol. 49, p. 104047, may 2022, doi: 10.1016/j.est.2022.104047.</w:t>
      </w:r>
    </w:p>
    <w:p>
      <w:pPr>
        <w:pStyle w:val="Bibliografa1"/>
        <w:rPr>
          <w:color w:val="000000"/>
        </w:rPr>
      </w:pPr>
      <w:r>
        <w:rPr>
          <w:color w:val="000000"/>
        </w:rPr>
        <w:t>[2]</w:t>
        <w:tab/>
        <w:t xml:space="preserve">Daniel A. Mosher </w:t>
      </w:r>
      <w:r>
        <w:rPr>
          <w:i/>
          <w:color w:val="000000"/>
        </w:rPr>
        <w:t>et al.</w:t>
      </w:r>
      <w:r>
        <w:rPr>
          <w:color w:val="000000"/>
        </w:rPr>
        <w:t>, «High Density Hydrogen Storage System Demonstration Using NaAlH4 Based Complex Compound Hydrides», DOE/AL/67610, 912521, jul. 2007. doi: 10.2172/912521.</w:t>
      </w:r>
    </w:p>
    <w:p>
      <w:pPr>
        <w:pStyle w:val="Bibliografa1"/>
        <w:rPr>
          <w:color w:val="000000"/>
        </w:rPr>
      </w:pPr>
      <w:r>
        <w:rPr>
          <w:color w:val="000000"/>
        </w:rPr>
        <w:t>[3]</w:t>
        <w:tab/>
        <w:t xml:space="preserve">A. Singh, M. P. Maiya, y S. S. Murthy, «Effects of heat exchanger design on the performance of a solid state hydrogen storage device», </w:t>
      </w:r>
      <w:r>
        <w:rPr>
          <w:i/>
          <w:color w:val="000000"/>
        </w:rPr>
        <w:t>Int. J. Hydrog. Energy</w:t>
      </w:r>
      <w:r>
        <w:rPr>
          <w:color w:val="000000"/>
        </w:rPr>
        <w:t>, vol. 40, n.</w:t>
      </w:r>
      <w:r>
        <w:rPr>
          <w:color w:val="000000"/>
          <w:vertAlign w:val="superscript"/>
        </w:rPr>
        <w:t>o</w:t>
      </w:r>
      <w:r>
        <w:rPr>
          <w:color w:val="000000"/>
        </w:rPr>
        <w:t xml:space="preserve"> 31, pp. 9733-9746, ago. 2015, doi: 10.1016/j.ijhydene.2015.06.015.</w:t>
      </w:r>
    </w:p>
    <w:p>
      <w:pPr>
        <w:pStyle w:val="Bibliografa1"/>
        <w:rPr>
          <w:color w:val="000000"/>
        </w:rPr>
      </w:pPr>
      <w:r>
        <w:rPr>
          <w:color w:val="000000"/>
        </w:rPr>
        <w:t>[4]</w:t>
        <w:tab/>
        <w:t xml:space="preserve">S. Mellouli, F. Askri, E. Abhilash, y S. Ben Nasrallah, «Impact of using a heat transfer fluid pipe in a metal hydride-phase change material tank», </w:t>
      </w:r>
      <w:r>
        <w:rPr>
          <w:i/>
          <w:color w:val="000000"/>
        </w:rPr>
        <w:t>Appl. Therm. Eng.</w:t>
      </w:r>
      <w:r>
        <w:rPr>
          <w:color w:val="000000"/>
        </w:rPr>
        <w:t>, vol. 113, pp. 554-565, feb. 2017, doi: 10.1016/j.applthermaleng.2016.11.065.</w:t>
      </w:r>
    </w:p>
    <w:p>
      <w:pPr>
        <w:pStyle w:val="Bibliografa1"/>
        <w:rPr>
          <w:color w:val="000000"/>
        </w:rPr>
      </w:pPr>
      <w:r>
        <w:rPr>
          <w:color w:val="000000"/>
        </w:rPr>
        <w:t>[5]</w:t>
        <w:tab/>
        <w:t xml:space="preserve">N. Endo, S. Suzuki, K. Goshome, y T. Maeda, «Operation of a bench-scale TiFe-based alloy tank under mild conditions for low-cost stationary hydrogen storage», </w:t>
      </w:r>
      <w:r>
        <w:rPr>
          <w:i/>
          <w:color w:val="000000"/>
        </w:rPr>
        <w:t>Int. J. Hydrog. Energy</w:t>
      </w:r>
      <w:r>
        <w:rPr>
          <w:color w:val="000000"/>
        </w:rPr>
        <w:t>, vol. 42, n.</w:t>
      </w:r>
      <w:r>
        <w:rPr>
          <w:color w:val="000000"/>
          <w:vertAlign w:val="superscript"/>
        </w:rPr>
        <w:t>o</w:t>
      </w:r>
      <w:r>
        <w:rPr>
          <w:color w:val="000000"/>
        </w:rPr>
        <w:t xml:space="preserve"> 8, pp. 5246-5251, feb. 2017, doi: 10.1016/j.ijhydene.2016.11.088.</w:t>
      </w:r>
    </w:p>
    <w:p>
      <w:pPr>
        <w:pStyle w:val="Bibliografa1"/>
        <w:rPr>
          <w:color w:val="000000"/>
        </w:rPr>
      </w:pPr>
      <w:r>
        <w:rPr>
          <w:color w:val="000000"/>
        </w:rPr>
        <w:t>[6]</w:t>
        <w:tab/>
        <w:t xml:space="preserve">F. Askri, M. Bensalah, A. Jemni, y S. Bennasrallah, «Optimization of hydrogen storage in metal-hydride tanks», </w:t>
      </w:r>
      <w:r>
        <w:rPr>
          <w:i/>
          <w:color w:val="000000"/>
        </w:rPr>
        <w:t>Int. J. Hydrog. Energy</w:t>
      </w:r>
      <w:r>
        <w:rPr>
          <w:color w:val="000000"/>
        </w:rPr>
        <w:t>, vol. 34, n.</w:t>
      </w:r>
      <w:r>
        <w:rPr>
          <w:color w:val="000000"/>
          <w:vertAlign w:val="superscript"/>
        </w:rPr>
        <w:t>o</w:t>
      </w:r>
      <w:r>
        <w:rPr>
          <w:color w:val="000000"/>
        </w:rPr>
        <w:t xml:space="preserve"> 2, pp. 897-905, ene. 2009, doi: 10.1016/j.ijhydene.2008.11.021.</w:t>
      </w:r>
    </w:p>
    <w:p>
      <w:pPr>
        <w:pStyle w:val="Bibliografa1"/>
        <w:ind w:hanging="0" w:left="0"/>
        <w:rPr/>
      </w:pPr>
      <w:r>
        <w:rPr/>
      </w:r>
    </w:p>
    <w:p>
      <w:pPr>
        <w:sectPr>
          <w:type w:val="continuous"/>
          <w:pgSz w:w="12240" w:h="15840"/>
          <w:pgMar w:left="1701" w:right="1701" w:gutter="0" w:header="624" w:top="1417" w:footer="624" w:bottom="1417"/>
          <w:formProt w:val="false"/>
          <w:titlePg/>
          <w:textDirection w:val="lrTb"/>
          <w:docGrid w:type="default" w:linePitch="360" w:charSpace="0"/>
        </w:sectPr>
      </w:pPr>
    </w:p>
    <w:p>
      <w:pPr>
        <w:pStyle w:val="Normal"/>
        <w:spacing w:before="0" w:after="160"/>
        <w:rPr>
          <w:color w:val="000000"/>
        </w:rPr>
      </w:pPr>
      <w:r>
        <w:rPr>
          <w:color w:val="000000"/>
        </w:rPr>
      </w:r>
    </w:p>
    <w:sectPr>
      <w:type w:val="continuous"/>
      <w:pgSz w:w="12240" w:h="15840"/>
      <w:pgMar w:left="1701" w:right="1701" w:gutter="0" w:header="624" w:top="1417" w:footer="624" w:bottom="1417"/>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Narrow">
    <w:charset w:val="01"/>
    <w:family w:val="swiss"/>
    <w:pitch w:val="variable"/>
  </w:font>
  <w:font w:name="Calibri Light">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Droid Sans Mono">
    <w:altName w:val="monospace"/>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i/>
        <w:i/>
        <w:iCs/>
      </w:rPr>
    </w:pPr>
    <w:r>
      <w:rPr>
        <w:i/>
        <w:iCs/>
        <w:color w:themeColor="background1" w:themeShade="80" w:val="808080"/>
        <w:sz w:val="20"/>
        <w:szCs w:val="18"/>
      </w:rPr>
      <w:t>ANEXOS TÉCNICOS OE2 Sistema modular de almacenamiento</w:t>
    </w:r>
    <w:r>
      <w:rPr>
        <w:i/>
        <w:iCs/>
      </w:rPr>
      <w:tab/>
    </w:r>
    <w:r>
      <w:rPr>
        <w:i/>
        <w:iCs/>
      </w:rPr>
      <w:fldChar w:fldCharType="begin"/>
    </w:r>
    <w:r>
      <w:rPr>
        <w:i/>
        <w:iCs/>
      </w:rPr>
      <w:instrText xml:space="preserve"> PAGE </w:instrText>
    </w:r>
    <w:r>
      <w:rPr>
        <w:i/>
        <w:iCs/>
      </w:rPr>
      <w:fldChar w:fldCharType="separate"/>
    </w:r>
    <w:r>
      <w:rPr>
        <w:i/>
        <w:iCs/>
      </w:rPr>
      <w:t>17</w:t>
    </w:r>
    <w:r>
      <w:rPr>
        <w:i/>
        <w:i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6">
          <wp:simplePos x="0" y="0"/>
          <wp:positionH relativeFrom="column">
            <wp:posOffset>3656965</wp:posOffset>
          </wp:positionH>
          <wp:positionV relativeFrom="paragraph">
            <wp:posOffset>-225425</wp:posOffset>
          </wp:positionV>
          <wp:extent cx="1137920" cy="539750"/>
          <wp:effectExtent l="0" t="0" r="0" b="0"/>
          <wp:wrapNone/>
          <wp:docPr id="1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descr=""/>
                  <pic:cNvPicPr>
                    <a:picLocks noChangeAspect="1" noChangeArrowheads="1"/>
                  </pic:cNvPicPr>
                </pic:nvPicPr>
                <pic:blipFill>
                  <a:blip r:embed="rId1"/>
                  <a:srcRect l="0" t="19341" r="0" b="17426"/>
                  <a:stretch>
                    <a:fillRect/>
                  </a:stretch>
                </pic:blipFill>
                <pic:spPr bwMode="auto">
                  <a:xfrm>
                    <a:off x="0" y="0"/>
                    <a:ext cx="1137920" cy="539750"/>
                  </a:xfrm>
                  <a:prstGeom prst="rect">
                    <a:avLst/>
                  </a:prstGeom>
                  <a:noFill/>
                </pic:spPr>
              </pic:pic>
            </a:graphicData>
          </a:graphic>
        </wp:anchor>
      </w:drawing>
      <w:drawing>
        <wp:anchor behindDoc="1" distT="0" distB="0" distL="0" distR="0" simplePos="0" locked="0" layoutInCell="1" allowOverlap="1" relativeHeight="7">
          <wp:simplePos x="0" y="0"/>
          <wp:positionH relativeFrom="column">
            <wp:posOffset>687070</wp:posOffset>
          </wp:positionH>
          <wp:positionV relativeFrom="paragraph">
            <wp:posOffset>-225425</wp:posOffset>
          </wp:positionV>
          <wp:extent cx="2664460" cy="539750"/>
          <wp:effectExtent l="0" t="0" r="0" b="0"/>
          <wp:wrapNone/>
          <wp:docPr id="1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descr=""/>
                  <pic:cNvPicPr>
                    <a:picLocks noChangeAspect="1" noChangeArrowheads="1"/>
                  </pic:cNvPicPr>
                </pic:nvPicPr>
                <pic:blipFill>
                  <a:blip r:embed="rId2"/>
                  <a:srcRect l="5308" t="19744" r="8029" b="18997"/>
                  <a:stretch>
                    <a:fillRect/>
                  </a:stretch>
                </pic:blipFill>
                <pic:spPr bwMode="auto">
                  <a:xfrm>
                    <a:off x="0" y="0"/>
                    <a:ext cx="2664460" cy="53975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3">
          <wp:simplePos x="0" y="0"/>
          <wp:positionH relativeFrom="page">
            <wp:posOffset>4170045</wp:posOffset>
          </wp:positionH>
          <wp:positionV relativeFrom="paragraph">
            <wp:posOffset>5715</wp:posOffset>
          </wp:positionV>
          <wp:extent cx="1178560" cy="395605"/>
          <wp:effectExtent l="0" t="0" r="0" b="0"/>
          <wp:wrapNone/>
          <wp:docPr id="7" name="Imagen 1111987573" descr="Universidad Pontificia Bolivariana | 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111987573" descr="Universidad Pontificia Bolivariana | UPB"/>
                  <pic:cNvPicPr>
                    <a:picLocks noChangeAspect="1" noChangeArrowheads="1"/>
                  </pic:cNvPicPr>
                </pic:nvPicPr>
                <pic:blipFill>
                  <a:blip r:embed="rId1"/>
                  <a:stretch>
                    <a:fillRect/>
                  </a:stretch>
                </pic:blipFill>
                <pic:spPr bwMode="auto">
                  <a:xfrm>
                    <a:off x="0" y="0"/>
                    <a:ext cx="1178560" cy="395605"/>
                  </a:xfrm>
                  <a:prstGeom prst="rect">
                    <a:avLst/>
                  </a:prstGeom>
                  <a:noFill/>
                </pic:spPr>
              </pic:pic>
            </a:graphicData>
          </a:graphic>
        </wp:anchor>
      </w:drawing>
      <w:drawing>
        <wp:anchor behindDoc="1" distT="0" distB="0" distL="0" distR="0" simplePos="0" locked="0" layoutInCell="1" allowOverlap="1" relativeHeight="39">
          <wp:simplePos x="0" y="0"/>
          <wp:positionH relativeFrom="column">
            <wp:posOffset>1375410</wp:posOffset>
          </wp:positionH>
          <wp:positionV relativeFrom="paragraph">
            <wp:posOffset>6350</wp:posOffset>
          </wp:positionV>
          <wp:extent cx="1575435" cy="395605"/>
          <wp:effectExtent l="0" t="0" r="0" b="0"/>
          <wp:wrapNone/>
          <wp:docPr id="8" name="Imagen 1685780194" descr="Banco de recurs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685780194" descr="Banco de recursos multimedia"/>
                  <pic:cNvPicPr>
                    <a:picLocks noChangeAspect="1" noChangeArrowheads="1"/>
                  </pic:cNvPicPr>
                </pic:nvPicPr>
                <pic:blipFill>
                  <a:blip r:embed="rId2"/>
                  <a:stretch>
                    <a:fillRect/>
                  </a:stretch>
                </pic:blipFill>
                <pic:spPr bwMode="auto">
                  <a:xfrm>
                    <a:off x="0" y="0"/>
                    <a:ext cx="1575435" cy="395605"/>
                  </a:xfrm>
                  <a:prstGeom prst="rect">
                    <a:avLst/>
                  </a:prstGeom>
                  <a:noFill/>
                </pic:spPr>
              </pic:pic>
            </a:graphicData>
          </a:graphic>
        </wp:anchor>
      </w:drawing>
      <w:drawing>
        <wp:anchor behindDoc="1" distT="0" distB="0" distL="0" distR="0" simplePos="0" locked="0" layoutInCell="1" allowOverlap="1" relativeHeight="55">
          <wp:simplePos x="0" y="0"/>
          <wp:positionH relativeFrom="column">
            <wp:posOffset>-271145</wp:posOffset>
          </wp:positionH>
          <wp:positionV relativeFrom="paragraph">
            <wp:posOffset>-26035</wp:posOffset>
          </wp:positionV>
          <wp:extent cx="1506855" cy="467995"/>
          <wp:effectExtent l="0" t="0" r="0" b="0"/>
          <wp:wrapNone/>
          <wp:docPr id="9" name="Imagen 2050203691" descr="Universidad de Medell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050203691" descr="Universidad de Medellín"/>
                  <pic:cNvPicPr>
                    <a:picLocks noChangeAspect="1" noChangeArrowheads="1"/>
                  </pic:cNvPicPr>
                </pic:nvPicPr>
                <pic:blipFill>
                  <a:blip r:embed="rId3"/>
                  <a:stretch>
                    <a:fillRect/>
                  </a:stretch>
                </pic:blipFill>
                <pic:spPr bwMode="auto">
                  <a:xfrm>
                    <a:off x="0" y="0"/>
                    <a:ext cx="1506855" cy="467995"/>
                  </a:xfrm>
                  <a:prstGeom prst="rect">
                    <a:avLst/>
                  </a:prstGeom>
                  <a:noFill/>
                </pic:spPr>
              </pic:pic>
            </a:graphicData>
          </a:graphic>
        </wp:anchor>
      </w:drawing>
      <w:drawing>
        <wp:anchor behindDoc="1" distT="0" distB="0" distL="0" distR="0" simplePos="0" locked="0" layoutInCell="1" allowOverlap="1" relativeHeight="71">
          <wp:simplePos x="0" y="0"/>
          <wp:positionH relativeFrom="column">
            <wp:posOffset>4406265</wp:posOffset>
          </wp:positionH>
          <wp:positionV relativeFrom="paragraph">
            <wp:posOffset>-66675</wp:posOffset>
          </wp:positionV>
          <wp:extent cx="1590040" cy="539750"/>
          <wp:effectExtent l="0" t="0" r="0" b="0"/>
          <wp:wrapNone/>
          <wp:docPr id="10"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
                  <pic:cNvPicPr>
                    <a:picLocks noChangeAspect="1" noChangeArrowheads="1"/>
                  </pic:cNvPicPr>
                </pic:nvPicPr>
                <pic:blipFill>
                  <a:blip r:embed="rId4"/>
                  <a:srcRect l="0" t="33934" r="0" b="32059"/>
                  <a:stretch>
                    <a:fillRect/>
                  </a:stretch>
                </pic:blipFill>
                <pic:spPr bwMode="auto">
                  <a:xfrm>
                    <a:off x="0" y="0"/>
                    <a:ext cx="1590040" cy="5397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page">
            <wp:posOffset>4110990</wp:posOffset>
          </wp:positionH>
          <wp:positionV relativeFrom="paragraph">
            <wp:posOffset>28575</wp:posOffset>
          </wp:positionV>
          <wp:extent cx="1178560" cy="395605"/>
          <wp:effectExtent l="0" t="0" r="0" b="0"/>
          <wp:wrapNone/>
          <wp:docPr id="11" name="Imagen 122521684" descr="Universidad Pontificia Bolivariana | UP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22521684" descr="Universidad Pontificia Bolivariana | UPB"/>
                  <pic:cNvPicPr>
                    <a:picLocks noChangeAspect="1" noChangeArrowheads="1"/>
                  </pic:cNvPicPr>
                </pic:nvPicPr>
                <pic:blipFill>
                  <a:blip r:embed="rId1"/>
                  <a:stretch>
                    <a:fillRect/>
                  </a:stretch>
                </pic:blipFill>
                <pic:spPr bwMode="auto">
                  <a:xfrm>
                    <a:off x="0" y="0"/>
                    <a:ext cx="1178560" cy="395605"/>
                  </a:xfrm>
                  <a:prstGeom prst="rect">
                    <a:avLst/>
                  </a:prstGeom>
                  <a:noFill/>
                </pic:spPr>
              </pic:pic>
            </a:graphicData>
          </a:graphic>
        </wp:anchor>
      </w:drawing>
      <w:drawing>
        <wp:anchor behindDoc="1" distT="0" distB="0" distL="0" distR="0" simplePos="0" locked="0" layoutInCell="1" allowOverlap="1" relativeHeight="3">
          <wp:simplePos x="0" y="0"/>
          <wp:positionH relativeFrom="column">
            <wp:posOffset>1316355</wp:posOffset>
          </wp:positionH>
          <wp:positionV relativeFrom="paragraph">
            <wp:posOffset>29210</wp:posOffset>
          </wp:positionV>
          <wp:extent cx="1575435" cy="395605"/>
          <wp:effectExtent l="0" t="0" r="0" b="0"/>
          <wp:wrapNone/>
          <wp:docPr id="12" name="Imagen 1564418990" descr="Banco de recursos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564418990" descr="Banco de recursos multimedia"/>
                  <pic:cNvPicPr>
                    <a:picLocks noChangeAspect="1" noChangeArrowheads="1"/>
                  </pic:cNvPicPr>
                </pic:nvPicPr>
                <pic:blipFill>
                  <a:blip r:embed="rId2"/>
                  <a:stretch>
                    <a:fillRect/>
                  </a:stretch>
                </pic:blipFill>
                <pic:spPr bwMode="auto">
                  <a:xfrm>
                    <a:off x="0" y="0"/>
                    <a:ext cx="1575435" cy="395605"/>
                  </a:xfrm>
                  <a:prstGeom prst="rect">
                    <a:avLst/>
                  </a:prstGeom>
                  <a:noFill/>
                </pic:spPr>
              </pic:pic>
            </a:graphicData>
          </a:graphic>
        </wp:anchor>
      </w:drawing>
      <w:drawing>
        <wp:anchor behindDoc="1" distT="0" distB="0" distL="0" distR="0" simplePos="0" locked="0" layoutInCell="1" allowOverlap="1" relativeHeight="4">
          <wp:simplePos x="0" y="0"/>
          <wp:positionH relativeFrom="column">
            <wp:posOffset>-330200</wp:posOffset>
          </wp:positionH>
          <wp:positionV relativeFrom="paragraph">
            <wp:posOffset>-3175</wp:posOffset>
          </wp:positionV>
          <wp:extent cx="1506855" cy="467995"/>
          <wp:effectExtent l="0" t="0" r="0" b="0"/>
          <wp:wrapNone/>
          <wp:docPr id="13" name="Imagen 515284303" descr="Universidad de Medell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515284303" descr="Universidad de Medellín"/>
                  <pic:cNvPicPr>
                    <a:picLocks noChangeAspect="1" noChangeArrowheads="1"/>
                  </pic:cNvPicPr>
                </pic:nvPicPr>
                <pic:blipFill>
                  <a:blip r:embed="rId3"/>
                  <a:stretch>
                    <a:fillRect/>
                  </a:stretch>
                </pic:blipFill>
                <pic:spPr bwMode="auto">
                  <a:xfrm>
                    <a:off x="0" y="0"/>
                    <a:ext cx="1506855" cy="467995"/>
                  </a:xfrm>
                  <a:prstGeom prst="rect">
                    <a:avLst/>
                  </a:prstGeom>
                  <a:noFill/>
                </pic:spPr>
              </pic:pic>
            </a:graphicData>
          </a:graphic>
        </wp:anchor>
      </w:drawing>
      <w:drawing>
        <wp:anchor behindDoc="1" distT="0" distB="0" distL="0" distR="0" simplePos="0" locked="0" layoutInCell="1" allowOverlap="1" relativeHeight="5">
          <wp:simplePos x="0" y="0"/>
          <wp:positionH relativeFrom="column">
            <wp:posOffset>4347210</wp:posOffset>
          </wp:positionH>
          <wp:positionV relativeFrom="paragraph">
            <wp:posOffset>-43815</wp:posOffset>
          </wp:positionV>
          <wp:extent cx="1590040" cy="539750"/>
          <wp:effectExtent l="0" t="0" r="0" b="0"/>
          <wp:wrapNone/>
          <wp:docPr id="1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2" descr=""/>
                  <pic:cNvPicPr>
                    <a:picLocks noChangeAspect="1" noChangeArrowheads="1"/>
                  </pic:cNvPicPr>
                </pic:nvPicPr>
                <pic:blipFill>
                  <a:blip r:embed="rId4"/>
                  <a:srcRect l="0" t="33934" r="0" b="32059"/>
                  <a:stretch>
                    <a:fillRect/>
                  </a:stretch>
                </pic:blipFill>
                <pic:spPr bwMode="auto">
                  <a:xfrm>
                    <a:off x="0" y="0"/>
                    <a:ext cx="1590040" cy="5397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515b"/>
    <w:pPr>
      <w:widowControl/>
      <w:suppressAutoHyphens w:val="true"/>
      <w:bidi w:val="0"/>
      <w:spacing w:lineRule="auto" w:line="240" w:before="0" w:after="160"/>
      <w:jc w:val="both"/>
    </w:pPr>
    <w:rPr>
      <w:rFonts w:ascii="Arial Narrow" w:hAnsi="Arial Narrow" w:eastAsia="Calibri" w:cs="" w:cstheme="minorBidi" w:eastAsiaTheme="minorHAnsi"/>
      <w:color w:val="auto"/>
      <w:kern w:val="0"/>
      <w:sz w:val="24"/>
      <w:szCs w:val="22"/>
      <w:lang w:val="es-CO" w:eastAsia="en-US" w:bidi="ar-SA"/>
    </w:rPr>
  </w:style>
  <w:style w:type="paragraph" w:styleId="Heading1">
    <w:name w:val="heading 1"/>
    <w:basedOn w:val="Normal"/>
    <w:next w:val="Normal"/>
    <w:link w:val="Ttulo1Car"/>
    <w:uiPriority w:val="9"/>
    <w:qFormat/>
    <w:rsid w:val="00d33e32"/>
    <w:pPr>
      <w:keepNext w:val="true"/>
      <w:keepLines/>
      <w:numPr>
        <w:ilvl w:val="0"/>
        <w:numId w:val="1"/>
      </w:numPr>
      <w:spacing w:before="240" w:after="0"/>
      <w:outlineLvl w:val="0"/>
    </w:pPr>
    <w:rPr>
      <w:rFonts w:eastAsia="" w:cs="" w:cstheme="majorBidi" w:eastAsiaTheme="majorEastAsia"/>
      <w:b/>
      <w:sz w:val="32"/>
      <w:szCs w:val="32"/>
    </w:rPr>
  </w:style>
  <w:style w:type="paragraph" w:styleId="Heading2">
    <w:name w:val="heading 2"/>
    <w:basedOn w:val="Normal"/>
    <w:next w:val="Normal"/>
    <w:link w:val="Ttulo2Car"/>
    <w:uiPriority w:val="9"/>
    <w:unhideWhenUsed/>
    <w:qFormat/>
    <w:rsid w:val="00e95a6c"/>
    <w:pPr>
      <w:keepNext w:val="true"/>
      <w:keepLines/>
      <w:numPr>
        <w:ilvl w:val="1"/>
        <w:numId w:val="1"/>
      </w:numPr>
      <w:spacing w:before="40" w:after="0"/>
      <w:ind w:left="1284"/>
      <w:outlineLvl w:val="1"/>
    </w:pPr>
    <w:rPr>
      <w:rFonts w:eastAsia="" w:cs="" w:cstheme="majorBidi" w:eastAsiaTheme="majorEastAsia"/>
      <w:b/>
      <w:szCs w:val="26"/>
    </w:rPr>
  </w:style>
  <w:style w:type="paragraph" w:styleId="Heading3">
    <w:name w:val="heading 3"/>
    <w:basedOn w:val="Normal"/>
    <w:next w:val="Normal"/>
    <w:link w:val="Ttulo3Car"/>
    <w:uiPriority w:val="9"/>
    <w:semiHidden/>
    <w:unhideWhenUsed/>
    <w:qFormat/>
    <w:rsid w:val="00d33e32"/>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themeColor="accent1" w:themeShade="7f" w:val="1F3763"/>
      <w:szCs w:val="24"/>
    </w:rPr>
  </w:style>
  <w:style w:type="paragraph" w:styleId="Heading4">
    <w:name w:val="heading 4"/>
    <w:basedOn w:val="Normal"/>
    <w:next w:val="Normal"/>
    <w:link w:val="Ttulo4Car"/>
    <w:uiPriority w:val="9"/>
    <w:semiHidden/>
    <w:unhideWhenUsed/>
    <w:qFormat/>
    <w:rsid w:val="00d33e3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d33e3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d33e3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d33e3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d33e3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d33e3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6515b"/>
    <w:rPr>
      <w:rFonts w:ascii="Arial Narrow" w:hAnsi="Arial Narrow"/>
      <w:sz w:val="24"/>
    </w:rPr>
  </w:style>
  <w:style w:type="character" w:styleId="PiedepginaCar" w:customStyle="1">
    <w:name w:val="Pie de página Car"/>
    <w:basedOn w:val="DefaultParagraphFont"/>
    <w:uiPriority w:val="99"/>
    <w:qFormat/>
    <w:rsid w:val="00a6515b"/>
    <w:rPr>
      <w:rFonts w:ascii="Arial Narrow" w:hAnsi="Arial Narrow"/>
      <w:sz w:val="24"/>
    </w:rPr>
  </w:style>
  <w:style w:type="character" w:styleId="Ttulo1Car" w:customStyle="1">
    <w:name w:val="Título 1 Car"/>
    <w:basedOn w:val="DefaultParagraphFont"/>
    <w:uiPriority w:val="9"/>
    <w:qFormat/>
    <w:rsid w:val="00d33e32"/>
    <w:rPr>
      <w:rFonts w:ascii="Arial Narrow" w:hAnsi="Arial Narrow" w:eastAsia="" w:cs="" w:cstheme="majorBidi" w:eastAsiaTheme="majorEastAsia"/>
      <w:b/>
      <w:sz w:val="32"/>
      <w:szCs w:val="32"/>
    </w:rPr>
  </w:style>
  <w:style w:type="character" w:styleId="Ttulo2Car" w:customStyle="1">
    <w:name w:val="Título 2 Car"/>
    <w:basedOn w:val="DefaultParagraphFont"/>
    <w:uiPriority w:val="9"/>
    <w:qFormat/>
    <w:rsid w:val="00e95a6c"/>
    <w:rPr>
      <w:rFonts w:ascii="Arial Narrow" w:hAnsi="Arial Narrow" w:eastAsia="" w:cs="" w:cstheme="majorBidi" w:eastAsiaTheme="majorEastAsia"/>
      <w:b/>
      <w:sz w:val="24"/>
      <w:szCs w:val="26"/>
    </w:rPr>
  </w:style>
  <w:style w:type="character" w:styleId="Ttulo3Car" w:customStyle="1">
    <w:name w:val="Título 3 Car"/>
    <w:basedOn w:val="DefaultParagraphFont"/>
    <w:uiPriority w:val="9"/>
    <w:semiHidden/>
    <w:qFormat/>
    <w:rsid w:val="00d33e32"/>
    <w:rPr>
      <w:rFonts w:ascii="Calibri Light" w:hAnsi="Calibri Light" w:eastAsia="" w:cs="" w:asciiTheme="majorHAnsi" w:cstheme="majorBidi" w:eastAsiaTheme="majorEastAsia" w:hAnsiTheme="majorHAnsi"/>
      <w:color w:themeColor="accent1" w:themeShade="7f" w:val="1F3763"/>
      <w:sz w:val="24"/>
      <w:szCs w:val="24"/>
    </w:rPr>
  </w:style>
  <w:style w:type="character" w:styleId="Ttulo4Car" w:customStyle="1">
    <w:name w:val="Título 4 Car"/>
    <w:basedOn w:val="DefaultParagraphFont"/>
    <w:uiPriority w:val="9"/>
    <w:semiHidden/>
    <w:qFormat/>
    <w:rsid w:val="00d33e32"/>
    <w:rPr>
      <w:rFonts w:ascii="Calibri Light" w:hAnsi="Calibri Light" w:eastAsia="" w:cs="" w:asciiTheme="majorHAnsi" w:cstheme="majorBidi" w:eastAsiaTheme="majorEastAsia" w:hAnsiTheme="majorHAnsi"/>
      <w:i/>
      <w:iCs/>
      <w:color w:themeColor="accent1" w:themeShade="bf" w:val="2F5496"/>
      <w:sz w:val="24"/>
    </w:rPr>
  </w:style>
  <w:style w:type="character" w:styleId="Ttulo5Car" w:customStyle="1">
    <w:name w:val="Título 5 Car"/>
    <w:basedOn w:val="DefaultParagraphFont"/>
    <w:uiPriority w:val="9"/>
    <w:semiHidden/>
    <w:qFormat/>
    <w:rsid w:val="00d33e32"/>
    <w:rPr>
      <w:rFonts w:ascii="Calibri Light" w:hAnsi="Calibri Light" w:eastAsia="" w:cs="" w:asciiTheme="majorHAnsi" w:cstheme="majorBidi" w:eastAsiaTheme="majorEastAsia" w:hAnsiTheme="majorHAnsi"/>
      <w:color w:themeColor="accent1" w:themeShade="bf" w:val="2F5496"/>
      <w:sz w:val="24"/>
    </w:rPr>
  </w:style>
  <w:style w:type="character" w:styleId="Ttulo6Car" w:customStyle="1">
    <w:name w:val="Título 6 Car"/>
    <w:basedOn w:val="DefaultParagraphFont"/>
    <w:uiPriority w:val="9"/>
    <w:semiHidden/>
    <w:qFormat/>
    <w:rsid w:val="00d33e32"/>
    <w:rPr>
      <w:rFonts w:ascii="Calibri Light" w:hAnsi="Calibri Light" w:eastAsia="" w:cs="" w:asciiTheme="majorHAnsi" w:cstheme="majorBidi" w:eastAsiaTheme="majorEastAsia" w:hAnsiTheme="majorHAnsi"/>
      <w:color w:themeColor="accent1" w:themeShade="7f" w:val="1F3763"/>
      <w:sz w:val="24"/>
    </w:rPr>
  </w:style>
  <w:style w:type="character" w:styleId="Ttulo7Car" w:customStyle="1">
    <w:name w:val="Título 7 Car"/>
    <w:basedOn w:val="DefaultParagraphFont"/>
    <w:uiPriority w:val="9"/>
    <w:semiHidden/>
    <w:qFormat/>
    <w:rsid w:val="00d33e32"/>
    <w:rPr>
      <w:rFonts w:ascii="Calibri Light" w:hAnsi="Calibri Light" w:eastAsia="" w:cs="" w:asciiTheme="majorHAnsi" w:cstheme="majorBidi" w:eastAsiaTheme="majorEastAsia" w:hAnsiTheme="majorHAnsi"/>
      <w:i/>
      <w:iCs/>
      <w:color w:themeColor="accent1" w:themeShade="7f" w:val="1F3763"/>
      <w:sz w:val="24"/>
    </w:rPr>
  </w:style>
  <w:style w:type="character" w:styleId="Ttulo8Car" w:customStyle="1">
    <w:name w:val="Título 8 Car"/>
    <w:basedOn w:val="DefaultParagraphFont"/>
    <w:uiPriority w:val="9"/>
    <w:semiHidden/>
    <w:qFormat/>
    <w:rsid w:val="00d33e32"/>
    <w:rPr>
      <w:rFonts w:ascii="Calibri Light" w:hAnsi="Calibri Light" w:eastAsia="" w:cs="" w:asciiTheme="majorHAnsi" w:cstheme="majorBidi" w:eastAsiaTheme="majorEastAsia" w:hAnsiTheme="majorHAnsi"/>
      <w:color w:themeColor="text1" w:themeTint="d8" w:val="272727"/>
      <w:sz w:val="21"/>
      <w:szCs w:val="21"/>
    </w:rPr>
  </w:style>
  <w:style w:type="character" w:styleId="Ttulo9Car" w:customStyle="1">
    <w:name w:val="Título 9 Car"/>
    <w:basedOn w:val="DefaultParagraphFont"/>
    <w:uiPriority w:val="9"/>
    <w:semiHidden/>
    <w:qFormat/>
    <w:rsid w:val="00d33e32"/>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7d2a3a"/>
    <w:rPr>
      <w:color w:themeColor="hyperlink" w:val="0563C1"/>
      <w:u w:val="single"/>
    </w:rPr>
  </w:style>
  <w:style w:type="character" w:styleId="Enlacedelndiceuser">
    <w:name w:val="Enlace del índice (user)"/>
    <w:qFormat/>
    <w:rPr/>
  </w:style>
  <w:style w:type="character" w:styleId="Enlacedelndice">
    <w:name w:val="Enlace del índice"/>
    <w:qFormat/>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a6515b"/>
    <w:pPr>
      <w:tabs>
        <w:tab w:val="clear" w:pos="708"/>
        <w:tab w:val="center" w:pos="4419" w:leader="none"/>
        <w:tab w:val="right" w:pos="8838" w:leader="none"/>
      </w:tabs>
      <w:spacing w:before="0" w:after="0"/>
    </w:pPr>
    <w:rPr/>
  </w:style>
  <w:style w:type="paragraph" w:styleId="Footer">
    <w:name w:val="footer"/>
    <w:basedOn w:val="Normal"/>
    <w:link w:val="PiedepginaCar"/>
    <w:uiPriority w:val="99"/>
    <w:unhideWhenUsed/>
    <w:rsid w:val="00a6515b"/>
    <w:pPr>
      <w:tabs>
        <w:tab w:val="clear" w:pos="708"/>
        <w:tab w:val="center" w:pos="4419" w:leader="none"/>
        <w:tab w:val="right" w:pos="8838" w:leader="none"/>
      </w:tabs>
      <w:spacing w:before="0" w:after="0"/>
    </w:pPr>
    <w:rPr/>
  </w:style>
  <w:style w:type="paragraph" w:styleId="Default" w:customStyle="1">
    <w:name w:val="Default"/>
    <w:qFormat/>
    <w:rsid w:val="00492ee2"/>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CO" w:eastAsia="en-US" w:bidi="ar-SA"/>
    </w:rPr>
  </w:style>
  <w:style w:type="paragraph" w:styleId="IndexHeading">
    <w:name w:val="index heading"/>
    <w:basedOn w:val="Ttulouser"/>
    <w:pPr/>
    <w:rPr/>
  </w:style>
  <w:style w:type="paragraph" w:styleId="TOCHeading">
    <w:name w:val="TOC Heading"/>
    <w:basedOn w:val="Heading1"/>
    <w:next w:val="Normal"/>
    <w:uiPriority w:val="39"/>
    <w:unhideWhenUsed/>
    <w:qFormat/>
    <w:rsid w:val="007d2a3a"/>
    <w:pPr>
      <w:numPr>
        <w:ilvl w:val="0"/>
        <w:numId w:val="0"/>
      </w:numPr>
      <w:spacing w:lineRule="auto" w:line="259"/>
      <w:jc w:val="left"/>
      <w:outlineLvl w:val="9"/>
    </w:pPr>
    <w:rPr>
      <w:rFonts w:ascii="Calibri Light" w:hAnsi="Calibri Light" w:asciiTheme="majorHAnsi" w:hAnsiTheme="majorHAnsi"/>
      <w:b w:val="false"/>
      <w:color w:themeColor="accent1" w:themeShade="bf" w:val="2F5496"/>
      <w:lang w:eastAsia="es-CO"/>
    </w:rPr>
  </w:style>
  <w:style w:type="paragraph" w:styleId="TOC1">
    <w:name w:val="toc 1"/>
    <w:basedOn w:val="Normal"/>
    <w:next w:val="Normal"/>
    <w:autoRedefine/>
    <w:uiPriority w:val="39"/>
    <w:unhideWhenUsed/>
    <w:rsid w:val="007d2a3a"/>
    <w:pPr>
      <w:spacing w:before="0" w:after="100"/>
      <w:jc w:val="center"/>
    </w:pPr>
    <w:rPr>
      <w:b/>
      <w:bCs/>
    </w:rPr>
  </w:style>
  <w:style w:type="paragraph" w:styleId="TOC2">
    <w:name w:val="toc 2"/>
    <w:basedOn w:val="Normal"/>
    <w:next w:val="Normal"/>
    <w:autoRedefine/>
    <w:uiPriority w:val="39"/>
    <w:unhideWhenUsed/>
    <w:rsid w:val="002f04eb"/>
    <w:pPr>
      <w:spacing w:before="0" w:after="100"/>
      <w:ind w:left="240"/>
    </w:pPr>
    <w:rPr/>
  </w:style>
  <w:style w:type="paragraph" w:styleId="TOC3">
    <w:name w:val="toc 3"/>
    <w:basedOn w:val="ndiceuser"/>
    <w:pPr/>
    <w:rPr/>
  </w:style>
  <w:style w:type="paragraph" w:styleId="TOC4">
    <w:name w:val="toc 4"/>
    <w:basedOn w:val="ndiceuser"/>
    <w:pPr/>
    <w:rPr/>
  </w:style>
  <w:style w:type="paragraph" w:styleId="TOC5">
    <w:name w:val="toc 5"/>
    <w:basedOn w:val="ndiceuser"/>
    <w:pPr/>
    <w:rPr/>
  </w:style>
  <w:style w:type="paragraph" w:styleId="TOC6">
    <w:name w:val="toc 6"/>
    <w:basedOn w:val="ndiceuser"/>
    <w:pPr/>
    <w:rPr/>
  </w:style>
  <w:style w:type="paragraph" w:styleId="TOC7">
    <w:name w:val="toc 7"/>
    <w:basedOn w:val="ndiceuser"/>
    <w:pPr/>
    <w:rPr/>
  </w:style>
  <w:style w:type="paragraph" w:styleId="TOC8">
    <w:name w:val="toc 8"/>
    <w:basedOn w:val="ndiceuser"/>
    <w:pPr/>
    <w:rPr/>
  </w:style>
  <w:style w:type="paragraph" w:styleId="TOC9">
    <w:name w:val="toc 9"/>
    <w:basedOn w:val="ndiceuser"/>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Bibliografa1">
    <w:name w:val="Bibliografía 1"/>
    <w:basedOn w:val="ndice"/>
    <w:qFormat/>
    <w:pPr>
      <w:tabs>
        <w:tab w:val="clear" w:pos="708"/>
        <w:tab w:val="left" w:pos="384" w:leader="none"/>
      </w:tabs>
      <w:spacing w:lineRule="atLeast" w:line="240" w:before="0" w:after="0"/>
      <w:ind w:hanging="384" w:left="384"/>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Tabla">
    <w:name w:val="Tabla"/>
    <w:basedOn w:val="Caption"/>
    <w:qFormat/>
    <w:pPr/>
    <w:rPr/>
  </w:style>
  <w:style w:type="paragraph" w:styleId="Contenidodelmarco">
    <w:name w:val="Contenido del marco"/>
    <w:basedOn w:val="Normal"/>
    <w:qFormat/>
    <w:pPr/>
    <w:rPr/>
  </w:style>
  <w:style w:type="paragraph" w:styleId="Ttulodelndicedetablas">
    <w:name w:val="Título del índice de tablas"/>
    <w:basedOn w:val="IndexHeading"/>
    <w:qFormat/>
    <w:pPr>
      <w:suppressLineNumbers/>
      <w:ind w:hanging="0" w:left="0"/>
    </w:pPr>
    <w:rPr>
      <w:b/>
      <w:bCs/>
      <w:sz w:val="32"/>
      <w:szCs w:val="32"/>
    </w:rPr>
  </w:style>
  <w:style w:type="paragraph" w:styleId="ndicedetablas1">
    <w:name w:val="Índice de tablas 1"/>
    <w:basedOn w:val="ndice"/>
    <w:qFormat/>
    <w:pPr>
      <w:tabs>
        <w:tab w:val="clear" w:pos="708"/>
        <w:tab w:val="right" w:pos="8838" w:leader="dot"/>
      </w:tabs>
      <w:ind w:hanging="0" w:left="0"/>
    </w:pPr>
    <w:rPr/>
  </w:style>
  <w:style w:type="paragraph" w:styleId="Tablauser">
    <w:name w:val="Tabla (user)"/>
    <w:basedOn w:val="Caption"/>
    <w:qFormat/>
    <w:pPr/>
    <w:rPr/>
  </w:style>
  <w:style w:type="paragraph" w:styleId="TableofFigures">
    <w:name w:val="table of figures"/>
    <w:basedOn w:val="ndiceuser"/>
    <w:pPr>
      <w:tabs>
        <w:tab w:val="clear" w:pos="708"/>
        <w:tab w:val="right" w:pos="8838" w:leader="dot"/>
      </w:tabs>
      <w:ind w:hanging="0" w:left="0"/>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footer3.xml.rels><?xml version="1.0" encoding="UTF-8"?>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
</Relationships>
</file>

<file path=word/_rels/header2.xml.rels><?xml version="1.0" encoding="UTF-8"?>
<Relationships xmlns="http://schemas.openxmlformats.org/package/2006/relationships"><Relationship Id="rId1" Type="http://schemas.openxmlformats.org/officeDocument/2006/relationships/image" Target="media/image7.jpeg"/><Relationship Id="rId2" Type="http://schemas.openxmlformats.org/officeDocument/2006/relationships/image" Target="media/image8.png"/><Relationship Id="rId3" Type="http://schemas.openxmlformats.org/officeDocument/2006/relationships/image" Target="media/image9.png"/><Relationship Id="rId4" Type="http://schemas.openxmlformats.org/officeDocument/2006/relationships/image" Target="media/image10.png"/>
</Relationships>
</file>

<file path=word/_rels/header3.xml.rels><?xml version="1.0" encoding="UTF-8"?>
<Relationships xmlns="http://schemas.openxmlformats.org/package/2006/relationships"><Relationship Id="rId1" Type="http://schemas.openxmlformats.org/officeDocument/2006/relationships/image" Target="media/image7.jpeg"/><Relationship Id="rId2" Type="http://schemas.openxmlformats.org/officeDocument/2006/relationships/image" Target="media/image8.png"/><Relationship Id="rId3" Type="http://schemas.openxmlformats.org/officeDocument/2006/relationships/image" Target="media/image9.png"/><Relationship Id="rId4"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EA0A8-95C4-4670-A58E-B40CBF213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Application>LibreOffice/25.2.6.2$Linux_X86_64 LibreOffice_project/520$Build-2</Application>
  <AppVersion>15.0000</AppVersion>
  <Pages>17</Pages>
  <Words>3564</Words>
  <Characters>19674</Characters>
  <CharactersWithSpaces>23240</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2025-09-03T16:01:00Z</dcterms:created>
  <dc:creator>Esteban Alberto Correa Bedoya</dc:creator>
  <dc:description/>
  <dc:language>es-ES</dc:language>
  <cp:lastModifiedBy/>
  <cp:lastPrinted>2025-10-02T10:54:16Z</cp:lastPrinted>
  <dcterms:modified xsi:type="dcterms:W3CDTF">2025-10-02T12:54:16Z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id="0Enh5BQI"/&gt;&lt;style id="http://www.zotero.org/styles/ieee" locale="es-ES" hasBibliography="1" bibliographyStyleHasBeenSet="1"/&gt;&lt;prefs&gt;&lt;pref name="fieldType" value="ReferenceMark"/&gt;&lt;pref name="autom</vt:lpwstr>
  </property>
  <property fmtid="{D5CDD505-2E9C-101B-9397-08002B2CF9AE}" pid="3" name="ZOTERO_PREF_2">
    <vt:lpwstr>aticJournalAbbreviations" value="true"/&gt;&lt;/prefs&gt;&lt;/data&gt;</vt:lpwstr>
  </property>
</Properties>
</file>