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6D96" w14:textId="4F8F21ED" w:rsidR="00573577" w:rsidRDefault="00573577" w:rsidP="00573577">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573577">
        <w:rPr>
          <w:rFonts w:ascii="Times New Roman" w:eastAsia="Times New Roman" w:hAnsi="Times New Roman" w:cs="Times New Roman"/>
          <w:b/>
          <w:bCs/>
          <w:kern w:val="36"/>
          <w:sz w:val="48"/>
          <w:szCs w:val="48"/>
          <w14:ligatures w14:val="none"/>
        </w:rPr>
        <w:t>Teaching Notes: Call Center “Learning” Simulation</w:t>
      </w:r>
    </w:p>
    <w:p w14:paraId="6E6D96E7" w14:textId="6C07940A" w:rsidR="00573577" w:rsidRPr="00573577" w:rsidRDefault="00573577" w:rsidP="0057357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573577">
        <w:rPr>
          <w:rFonts w:ascii="Times New Roman" w:eastAsia="Times New Roman" w:hAnsi="Times New Roman" w:cs="Times New Roman"/>
          <w:b/>
          <w:bCs/>
          <w:kern w:val="36"/>
          <w14:ligatures w14:val="none"/>
        </w:rPr>
        <w:t xml:space="preserve">Link: </w:t>
      </w:r>
      <w:r w:rsidRPr="00573577">
        <w:rPr>
          <w:rFonts w:ascii="Times New Roman" w:eastAsia="Times New Roman" w:hAnsi="Times New Roman" w:cs="Times New Roman"/>
          <w:b/>
          <w:bCs/>
          <w:kern w:val="36"/>
          <w14:ligatures w14:val="none"/>
        </w:rPr>
        <w:t>https://simpsonsparadox-concorddemo.streamlit.app/</w:t>
      </w:r>
    </w:p>
    <w:p w14:paraId="28820CE1"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t>Objective</w:t>
      </w:r>
    </w:p>
    <w:p w14:paraId="2034D11B"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 xml:space="preserve">Show that a declining aggregate performance curve can be caused by changing sample composition rather than true within-expert learning. The main statistical lesson is to separate </w:t>
      </w:r>
      <w:r w:rsidRPr="00573577">
        <w:rPr>
          <w:rFonts w:ascii="Times New Roman" w:eastAsia="Times New Roman" w:hAnsi="Times New Roman" w:cs="Times New Roman"/>
          <w:b/>
          <w:bCs/>
          <w:kern w:val="0"/>
          <w14:ligatures w14:val="none"/>
        </w:rPr>
        <w:t>within-unit change</w:t>
      </w:r>
      <w:r w:rsidRPr="00573577">
        <w:rPr>
          <w:rFonts w:ascii="Times New Roman" w:eastAsia="Times New Roman" w:hAnsi="Times New Roman" w:cs="Times New Roman"/>
          <w:kern w:val="0"/>
          <w14:ligatures w14:val="none"/>
        </w:rPr>
        <w:t xml:space="preserve"> from </w:t>
      </w:r>
      <w:r w:rsidRPr="00573577">
        <w:rPr>
          <w:rFonts w:ascii="Times New Roman" w:eastAsia="Times New Roman" w:hAnsi="Times New Roman" w:cs="Times New Roman"/>
          <w:b/>
          <w:bCs/>
          <w:kern w:val="0"/>
          <w14:ligatures w14:val="none"/>
        </w:rPr>
        <w:t>between-unit selection</w:t>
      </w:r>
      <w:r w:rsidRPr="00573577">
        <w:rPr>
          <w:rFonts w:ascii="Times New Roman" w:eastAsia="Times New Roman" w:hAnsi="Times New Roman" w:cs="Times New Roman"/>
          <w:kern w:val="0"/>
          <w14:ligatures w14:val="none"/>
        </w:rPr>
        <w:t>.</w:t>
      </w:r>
    </w:p>
    <w:p w14:paraId="2546C995"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t>Setup</w:t>
      </w:r>
    </w:p>
    <w:p w14:paraId="27B02BA0"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 xml:space="preserve">Each expert has a sequence of engagements and a CST outcome for each engagement. Some experts only complete a few engagements, while others complete many. The number of engagements per expert is strongly </w:t>
      </w:r>
      <w:proofErr w:type="gramStart"/>
      <w:r w:rsidRPr="00573577">
        <w:rPr>
          <w:rFonts w:ascii="Times New Roman" w:eastAsia="Times New Roman" w:hAnsi="Times New Roman" w:cs="Times New Roman"/>
          <w:kern w:val="0"/>
          <w14:ligatures w14:val="none"/>
        </w:rPr>
        <w:t>right-skewed</w:t>
      </w:r>
      <w:proofErr w:type="gramEnd"/>
      <w:r w:rsidRPr="00573577">
        <w:rPr>
          <w:rFonts w:ascii="Times New Roman" w:eastAsia="Times New Roman" w:hAnsi="Times New Roman" w:cs="Times New Roman"/>
          <w:kern w:val="0"/>
          <w14:ligatures w14:val="none"/>
        </w:rPr>
        <w:t>.</w:t>
      </w:r>
    </w:p>
    <w:p w14:paraId="2C867271"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 xml:space="preserve">At first glance, the aggregate mean CST by nth engagement appears to decline, suggesting learning. But when experts are grouped by whether they reached at least </w:t>
      </w:r>
      <w:r w:rsidRPr="00573577">
        <w:rPr>
          <w:rFonts w:ascii="Times New Roman" w:eastAsia="Times New Roman" w:hAnsi="Times New Roman" w:cs="Times New Roman"/>
          <w:b/>
          <w:bCs/>
          <w:kern w:val="0"/>
          <w14:ligatures w14:val="none"/>
        </w:rPr>
        <w:t>5, 10, 15, or 20 engagements</w:t>
      </w:r>
      <w:r w:rsidRPr="00573577">
        <w:rPr>
          <w:rFonts w:ascii="Times New Roman" w:eastAsia="Times New Roman" w:hAnsi="Times New Roman" w:cs="Times New Roman"/>
          <w:kern w:val="0"/>
          <w14:ligatures w14:val="none"/>
        </w:rPr>
        <w:t xml:space="preserve">, and those curves are censored at the focal threshold, the within-group trend is much flatter. The main pattern is </w:t>
      </w:r>
      <w:r w:rsidRPr="00573577">
        <w:rPr>
          <w:rFonts w:ascii="Times New Roman" w:eastAsia="Times New Roman" w:hAnsi="Times New Roman" w:cs="Times New Roman"/>
          <w:b/>
          <w:bCs/>
          <w:kern w:val="0"/>
          <w14:ligatures w14:val="none"/>
        </w:rPr>
        <w:t>vertical separation across groups</w:t>
      </w:r>
      <w:r w:rsidRPr="00573577">
        <w:rPr>
          <w:rFonts w:ascii="Times New Roman" w:eastAsia="Times New Roman" w:hAnsi="Times New Roman" w:cs="Times New Roman"/>
          <w:kern w:val="0"/>
          <w14:ligatures w14:val="none"/>
        </w:rPr>
        <w:t>.</w:t>
      </w:r>
    </w:p>
    <w:p w14:paraId="3CE1204F"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t>Core Teaching Point</w:t>
      </w:r>
    </w:p>
    <w:p w14:paraId="23A14693"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The pooled decline is not necessarily evidence that individual experts are getting better over time. It can instead be produced by a changing mix of experts at later sequence positions.</w:t>
      </w:r>
    </w:p>
    <w:p w14:paraId="7D1D4100"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Experts who remain in the data at higher engagement numbers may be systematically different from those who drop out earlier. They may be more proficient, receive easier cases, be routed differently, or be retained because they are already performing well. As a result, later engagements are disproportionately contributed by lower-CST experts.</w:t>
      </w:r>
    </w:p>
    <w:p w14:paraId="6653A7C4"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t>What Students Should Notice</w:t>
      </w:r>
    </w:p>
    <w:p w14:paraId="3257F354"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In the aggregate view</w:t>
      </w:r>
    </w:p>
    <w:p w14:paraId="731EB148" w14:textId="77777777" w:rsidR="00573577" w:rsidRPr="00573577" w:rsidRDefault="00573577" w:rsidP="005735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The overall CST curve declines across engagements.</w:t>
      </w:r>
    </w:p>
    <w:p w14:paraId="7B841A34" w14:textId="77777777" w:rsidR="00573577" w:rsidRPr="00573577" w:rsidRDefault="00573577" w:rsidP="0057357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This invites the natural but potentially wrong conclusion that experts are learning.</w:t>
      </w:r>
    </w:p>
    <w:p w14:paraId="15EE3142"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In the segmented view</w:t>
      </w:r>
    </w:p>
    <w:p w14:paraId="6DE467E6" w14:textId="77777777" w:rsidR="00573577" w:rsidRPr="00573577" w:rsidRDefault="00573577" w:rsidP="005735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The curves are often much flatter within cohort.</w:t>
      </w:r>
    </w:p>
    <w:p w14:paraId="6E72C1DC" w14:textId="77777777" w:rsidR="00573577" w:rsidRPr="00573577" w:rsidRDefault="00573577" w:rsidP="005735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lastRenderedPageBreak/>
        <w:t>The main difference is that higher-volume experts start lower and stay lower.</w:t>
      </w:r>
    </w:p>
    <w:p w14:paraId="438416EC" w14:textId="77777777" w:rsidR="00573577" w:rsidRPr="00573577" w:rsidRDefault="00573577" w:rsidP="0057357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That means the pooled trend is at least partly a composition effect.</w:t>
      </w:r>
    </w:p>
    <w:p w14:paraId="3D703B45"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In the diagnostics</w:t>
      </w:r>
    </w:p>
    <w:p w14:paraId="159E9040" w14:textId="77777777" w:rsidR="00573577" w:rsidRPr="00573577" w:rsidRDefault="00573577" w:rsidP="005735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The number of experts contributing to later engagements drops sharply.</w:t>
      </w:r>
    </w:p>
    <w:p w14:paraId="7F1093FB" w14:textId="77777777" w:rsidR="00573577" w:rsidRPr="00573577" w:rsidRDefault="00573577" w:rsidP="0057357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The far-right tail becomes unstable and noisy because averages are being computed on very small denominators.</w:t>
      </w:r>
    </w:p>
    <w:p w14:paraId="3A09EEE2"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t>Suggested Flow for Teaching</w:t>
      </w:r>
    </w:p>
    <w:p w14:paraId="2A1E20C1"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1. Start with the aggregate plot only</w:t>
      </w:r>
    </w:p>
    <w:p w14:paraId="60DB5EFB"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Ask:</w:t>
      </w:r>
    </w:p>
    <w:p w14:paraId="5AD7BF57"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What is the most obvious interpretation of this figure?</w:t>
      </w:r>
    </w:p>
    <w:p w14:paraId="21D4459F"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Most people will say experts are learning.</w:t>
      </w:r>
    </w:p>
    <w:p w14:paraId="677FB682"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2. Then reveal the segmented curves</w:t>
      </w:r>
    </w:p>
    <w:p w14:paraId="29897996"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Ask:</w:t>
      </w:r>
    </w:p>
    <w:p w14:paraId="1A0A3999"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If learning is the whole story, what should these within-group curves look like?</w:t>
      </w:r>
    </w:p>
    <w:p w14:paraId="15506EB6"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The answer is that they should also slope downward meaningfully within each cohort.</w:t>
      </w:r>
    </w:p>
    <w:p w14:paraId="49B40493"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3. Then focus attention on the vertical separation</w:t>
      </w:r>
    </w:p>
    <w:p w14:paraId="1A2047AF"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Ask:</w:t>
      </w:r>
    </w:p>
    <w:p w14:paraId="636AB49A"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What does it mean if the 20+ group is lower than the 5+ group even at the first few engagements?</w:t>
      </w:r>
    </w:p>
    <w:p w14:paraId="0F9F6259"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That points to baseline differences across experts, not just learning over time.</w:t>
      </w:r>
    </w:p>
    <w:p w14:paraId="708CA11C"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4. Then show the denominator chart</w:t>
      </w:r>
    </w:p>
    <w:p w14:paraId="5E0D9286"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Ask:</w:t>
      </w:r>
    </w:p>
    <w:p w14:paraId="49BB197D"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What happens to the reliability of the mean at high engagement counts?</w:t>
      </w:r>
    </w:p>
    <w:p w14:paraId="29CD9F16"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That introduces tail instability and small-sample noise.</w:t>
      </w:r>
    </w:p>
    <w:p w14:paraId="505CDE31"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t>Interpretation to Emphasize</w:t>
      </w:r>
    </w:p>
    <w:p w14:paraId="15C4D76B"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lastRenderedPageBreak/>
        <w:t>The aggregate curve conflates two things:</w:t>
      </w:r>
    </w:p>
    <w:p w14:paraId="3B88E0A3" w14:textId="77777777" w:rsidR="00573577" w:rsidRPr="00573577" w:rsidRDefault="00573577" w:rsidP="005735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within-expert change over time</w:t>
      </w:r>
    </w:p>
    <w:p w14:paraId="0D1EB2F9" w14:textId="77777777" w:rsidR="00573577" w:rsidRPr="00573577" w:rsidRDefault="00573577" w:rsidP="0057357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between-expert differences in who remains represented at later engagement numbers</w:t>
      </w:r>
    </w:p>
    <w:p w14:paraId="6DC4A131"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This is why pooled longitudinal summaries can be misleading when panel composition changes over sequence position.</w:t>
      </w:r>
    </w:p>
    <w:p w14:paraId="2B68D17C"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t>How to Describe the Statistical Issue Precisely</w:t>
      </w:r>
    </w:p>
    <w:p w14:paraId="6F393F1C"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 xml:space="preserve">This is best described as a </w:t>
      </w:r>
      <w:r w:rsidRPr="00573577">
        <w:rPr>
          <w:rFonts w:ascii="Times New Roman" w:eastAsia="Times New Roman" w:hAnsi="Times New Roman" w:cs="Times New Roman"/>
          <w:b/>
          <w:bCs/>
          <w:kern w:val="0"/>
          <w14:ligatures w14:val="none"/>
        </w:rPr>
        <w:t>selection</w:t>
      </w:r>
      <w:r w:rsidRPr="00573577">
        <w:rPr>
          <w:rFonts w:ascii="Times New Roman" w:eastAsia="Times New Roman" w:hAnsi="Times New Roman" w:cs="Times New Roman"/>
          <w:kern w:val="0"/>
          <w14:ligatures w14:val="none"/>
        </w:rPr>
        <w:t xml:space="preserve"> or </w:t>
      </w:r>
      <w:r w:rsidRPr="00573577">
        <w:rPr>
          <w:rFonts w:ascii="Times New Roman" w:eastAsia="Times New Roman" w:hAnsi="Times New Roman" w:cs="Times New Roman"/>
          <w:b/>
          <w:bCs/>
          <w:kern w:val="0"/>
          <w14:ligatures w14:val="none"/>
        </w:rPr>
        <w:t>composition artifact</w:t>
      </w:r>
      <w:r w:rsidRPr="00573577">
        <w:rPr>
          <w:rFonts w:ascii="Times New Roman" w:eastAsia="Times New Roman" w:hAnsi="Times New Roman" w:cs="Times New Roman"/>
          <w:kern w:val="0"/>
          <w14:ligatures w14:val="none"/>
        </w:rPr>
        <w:t xml:space="preserve"> driven by heterogeneity across experts and selective continuation into later engagements.</w:t>
      </w:r>
    </w:p>
    <w:p w14:paraId="023716CD"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 xml:space="preserve">It is similar in spirit to </w:t>
      </w:r>
      <w:r w:rsidRPr="00573577">
        <w:rPr>
          <w:rFonts w:ascii="Times New Roman" w:eastAsia="Times New Roman" w:hAnsi="Times New Roman" w:cs="Times New Roman"/>
          <w:b/>
          <w:bCs/>
          <w:kern w:val="0"/>
          <w14:ligatures w14:val="none"/>
        </w:rPr>
        <w:t>Simpson’s paradox</w:t>
      </w:r>
      <w:r w:rsidRPr="00573577">
        <w:rPr>
          <w:rFonts w:ascii="Times New Roman" w:eastAsia="Times New Roman" w:hAnsi="Times New Roman" w:cs="Times New Roman"/>
          <w:kern w:val="0"/>
          <w14:ligatures w14:val="none"/>
        </w:rPr>
        <w:t xml:space="preserve"> because the pooled pattern differs from the stratified pattern, but it is not necessarily a textbook reversal. A safer description is:</w:t>
      </w:r>
    </w:p>
    <w:p w14:paraId="1672733E" w14:textId="77777777" w:rsidR="00573577" w:rsidRPr="00573577" w:rsidRDefault="00573577" w:rsidP="005735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survivorship bias</w:t>
      </w:r>
    </w:p>
    <w:p w14:paraId="3FBBD0EA" w14:textId="77777777" w:rsidR="00573577" w:rsidRPr="00573577" w:rsidRDefault="00573577" w:rsidP="005735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composition bias</w:t>
      </w:r>
    </w:p>
    <w:p w14:paraId="234A851D" w14:textId="77777777" w:rsidR="00573577" w:rsidRPr="00573577" w:rsidRDefault="00573577" w:rsidP="0057357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between-expert heterogeneity confounding a within-expert trend</w:t>
      </w:r>
    </w:p>
    <w:p w14:paraId="7CE176C8"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t>Knobs and the Lesson Each One Teaches</w:t>
      </w:r>
    </w:p>
    <w:p w14:paraId="7096E145"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Between-expert heterogeneity</w:t>
      </w:r>
    </w:p>
    <w:p w14:paraId="674D15C4"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What changes:</w:t>
      </w:r>
      <w:r w:rsidRPr="00573577">
        <w:rPr>
          <w:rFonts w:ascii="Times New Roman" w:eastAsia="Times New Roman" w:hAnsi="Times New Roman" w:cs="Times New Roman"/>
          <w:kern w:val="0"/>
          <w14:ligatures w14:val="none"/>
        </w:rPr>
        <w:t xml:space="preserve"> Increasing this creates more vertical separation across segmented curves.</w:t>
      </w:r>
    </w:p>
    <w:p w14:paraId="1348EA3B"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Lesson:</w:t>
      </w:r>
      <w:r w:rsidRPr="00573577">
        <w:rPr>
          <w:rFonts w:ascii="Times New Roman" w:eastAsia="Times New Roman" w:hAnsi="Times New Roman" w:cs="Times New Roman"/>
          <w:kern w:val="0"/>
          <w14:ligatures w14:val="none"/>
        </w:rPr>
        <w:t xml:space="preserve"> Even if nobody is truly improving much, pooled averages can move simply because better and worse experts have different baseline levels.</w:t>
      </w:r>
    </w:p>
    <w:p w14:paraId="6F4E8DBB"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Selection strength: proficiency to volume</w:t>
      </w:r>
    </w:p>
    <w:p w14:paraId="33A036E5"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What changes:</w:t>
      </w:r>
      <w:r w:rsidRPr="00573577">
        <w:rPr>
          <w:rFonts w:ascii="Times New Roman" w:eastAsia="Times New Roman" w:hAnsi="Times New Roman" w:cs="Times New Roman"/>
          <w:kern w:val="0"/>
          <w14:ligatures w14:val="none"/>
        </w:rPr>
        <w:t xml:space="preserve"> Increasing this makes lower-CST experts more likely to survive to high engagement numbers.</w:t>
      </w:r>
    </w:p>
    <w:p w14:paraId="2466C1B1"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Lesson:</w:t>
      </w:r>
      <w:r w:rsidRPr="00573577">
        <w:rPr>
          <w:rFonts w:ascii="Times New Roman" w:eastAsia="Times New Roman" w:hAnsi="Times New Roman" w:cs="Times New Roman"/>
          <w:kern w:val="0"/>
          <w14:ligatures w14:val="none"/>
        </w:rPr>
        <w:t xml:space="preserve"> The stronger the link between baseline performance and persistence, the more misleading the aggregate learning curve becomes.</w:t>
      </w:r>
    </w:p>
    <w:p w14:paraId="15215641"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Within-expert efficiency gain</w:t>
      </w:r>
    </w:p>
    <w:p w14:paraId="3AF6C2DF"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What changes:</w:t>
      </w:r>
      <w:r w:rsidRPr="00573577">
        <w:rPr>
          <w:rFonts w:ascii="Times New Roman" w:eastAsia="Times New Roman" w:hAnsi="Times New Roman" w:cs="Times New Roman"/>
          <w:kern w:val="0"/>
          <w14:ligatures w14:val="none"/>
        </w:rPr>
        <w:t xml:space="preserve"> Increasing this creates genuine downward slope within cohorts.</w:t>
      </w:r>
    </w:p>
    <w:p w14:paraId="279EB4E3"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Lesson:</w:t>
      </w:r>
      <w:r w:rsidRPr="00573577">
        <w:rPr>
          <w:rFonts w:ascii="Times New Roman" w:eastAsia="Times New Roman" w:hAnsi="Times New Roman" w:cs="Times New Roman"/>
          <w:kern w:val="0"/>
          <w14:ligatures w14:val="none"/>
        </w:rPr>
        <w:t xml:space="preserve"> True learning should show up inside cohorts, not just in the pooled curve.</w:t>
      </w:r>
    </w:p>
    <w:p w14:paraId="0E8E3412"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Engagement-level noise</w:t>
      </w:r>
    </w:p>
    <w:p w14:paraId="00705495"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lastRenderedPageBreak/>
        <w:t>What changes:</w:t>
      </w:r>
      <w:r w:rsidRPr="00573577">
        <w:rPr>
          <w:rFonts w:ascii="Times New Roman" w:eastAsia="Times New Roman" w:hAnsi="Times New Roman" w:cs="Times New Roman"/>
          <w:kern w:val="0"/>
          <w14:ligatures w14:val="none"/>
        </w:rPr>
        <w:t xml:space="preserve"> Increasing this makes the tail jagged and unstable.</w:t>
      </w:r>
    </w:p>
    <w:p w14:paraId="70699AE3"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Lesson:</w:t>
      </w:r>
      <w:r w:rsidRPr="00573577">
        <w:rPr>
          <w:rFonts w:ascii="Times New Roman" w:eastAsia="Times New Roman" w:hAnsi="Times New Roman" w:cs="Times New Roman"/>
          <w:kern w:val="0"/>
          <w14:ligatures w14:val="none"/>
        </w:rPr>
        <w:t xml:space="preserve"> Late-sequence means are often overinterpreted even though they are based on very few observations.</w:t>
      </w:r>
    </w:p>
    <w:p w14:paraId="1E67F09A"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Case complexity drift</w:t>
      </w:r>
    </w:p>
    <w:p w14:paraId="148605CF"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What changes:</w:t>
      </w:r>
      <w:r w:rsidRPr="00573577">
        <w:rPr>
          <w:rFonts w:ascii="Times New Roman" w:eastAsia="Times New Roman" w:hAnsi="Times New Roman" w:cs="Times New Roman"/>
          <w:kern w:val="0"/>
          <w14:ligatures w14:val="none"/>
        </w:rPr>
        <w:t xml:space="preserve"> Positive drift can offset learning by making later engagements harder.</w:t>
      </w:r>
    </w:p>
    <w:p w14:paraId="7499A313"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Lesson:</w:t>
      </w:r>
      <w:r w:rsidRPr="00573577">
        <w:rPr>
          <w:rFonts w:ascii="Times New Roman" w:eastAsia="Times New Roman" w:hAnsi="Times New Roman" w:cs="Times New Roman"/>
          <w:kern w:val="0"/>
          <w14:ligatures w14:val="none"/>
        </w:rPr>
        <w:t xml:space="preserve"> Observed outcome trends reflect both skill change and task mix. A flat line does not imply no learning if cases are getting harder.</w:t>
      </w:r>
    </w:p>
    <w:p w14:paraId="4511F7AE"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Number of experts</w:t>
      </w:r>
    </w:p>
    <w:p w14:paraId="5D5797B7"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What changes:</w:t>
      </w:r>
      <w:r w:rsidRPr="00573577">
        <w:rPr>
          <w:rFonts w:ascii="Times New Roman" w:eastAsia="Times New Roman" w:hAnsi="Times New Roman" w:cs="Times New Roman"/>
          <w:kern w:val="0"/>
          <w14:ligatures w14:val="none"/>
        </w:rPr>
        <w:t xml:space="preserve"> Reducing the sample makes the tail noisier faster.</w:t>
      </w:r>
    </w:p>
    <w:p w14:paraId="04642897"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b/>
          <w:bCs/>
          <w:kern w:val="0"/>
          <w14:ligatures w14:val="none"/>
        </w:rPr>
        <w:t>Lesson:</w:t>
      </w:r>
      <w:r w:rsidRPr="00573577">
        <w:rPr>
          <w:rFonts w:ascii="Times New Roman" w:eastAsia="Times New Roman" w:hAnsi="Times New Roman" w:cs="Times New Roman"/>
          <w:kern w:val="0"/>
          <w14:ligatures w14:val="none"/>
        </w:rPr>
        <w:t xml:space="preserve"> Sparse support in the tail makes visual pattern-reading dangerous.</w:t>
      </w:r>
    </w:p>
    <w:p w14:paraId="1175EBEB"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t>Questions to Ask Students</w:t>
      </w:r>
    </w:p>
    <w:p w14:paraId="73E85FA6" w14:textId="77777777" w:rsidR="00573577" w:rsidRPr="00573577" w:rsidRDefault="00573577" w:rsidP="005735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What assumption are we making if we interpret the aggregate decline as learning?</w:t>
      </w:r>
    </w:p>
    <w:p w14:paraId="34AA55DF" w14:textId="77777777" w:rsidR="00573577" w:rsidRPr="00573577" w:rsidRDefault="00573577" w:rsidP="005735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Are the experts contributing to engagement 20 comparable to those contributing to engagement 2?</w:t>
      </w:r>
    </w:p>
    <w:p w14:paraId="05AD1B84" w14:textId="77777777" w:rsidR="00573577" w:rsidRPr="00573577" w:rsidRDefault="00573577" w:rsidP="005735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What evidence would distinguish true within-expert learning from composition effects?</w:t>
      </w:r>
    </w:p>
    <w:p w14:paraId="5D053FB6" w14:textId="77777777" w:rsidR="00573577" w:rsidRPr="00573577" w:rsidRDefault="00573577" w:rsidP="005735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Why do the segmented curves matter more than the pooled curve for this question?</w:t>
      </w:r>
    </w:p>
    <w:p w14:paraId="2D6A2221" w14:textId="77777777" w:rsidR="00573577" w:rsidRPr="00573577" w:rsidRDefault="00573577" w:rsidP="005735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What role does the shrinking denominator play in the tail?</w:t>
      </w:r>
    </w:p>
    <w:p w14:paraId="5BAC0CE0" w14:textId="77777777" w:rsidR="00573577" w:rsidRPr="00573577" w:rsidRDefault="00573577" w:rsidP="0057357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Would controlling for expert fixed effects change the interpretation?</w:t>
      </w:r>
    </w:p>
    <w:p w14:paraId="7276D2C0"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t>Good Discussion Points</w:t>
      </w:r>
    </w:p>
    <w:p w14:paraId="538006BC"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Why total engagement count is not a neutral grouping variable</w:t>
      </w:r>
    </w:p>
    <w:p w14:paraId="718F4538"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It is partly determined by the observed trajectory, so grouping on it is descriptive and diagnostic, not a clean causal stratification.</w:t>
      </w:r>
    </w:p>
    <w:p w14:paraId="205F56E7"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Why aggregate plots are still useful</w:t>
      </w:r>
    </w:p>
    <w:p w14:paraId="0495A294"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They are useful for detecting patterns, but not for attributing cause.</w:t>
      </w:r>
    </w:p>
    <w:p w14:paraId="7B8AC641" w14:textId="77777777" w:rsidR="00573577" w:rsidRPr="00573577" w:rsidRDefault="00573577" w:rsidP="005735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73577">
        <w:rPr>
          <w:rFonts w:ascii="Times New Roman" w:eastAsia="Times New Roman" w:hAnsi="Times New Roman" w:cs="Times New Roman"/>
          <w:b/>
          <w:bCs/>
          <w:kern w:val="0"/>
          <w:sz w:val="27"/>
          <w:szCs w:val="27"/>
          <w14:ligatures w14:val="none"/>
        </w:rPr>
        <w:t>What a stronger analysis might look like</w:t>
      </w:r>
    </w:p>
    <w:p w14:paraId="15E49830" w14:textId="77777777" w:rsidR="00573577" w:rsidRPr="00573577" w:rsidRDefault="00573577" w:rsidP="005735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expert fixed-effects models</w:t>
      </w:r>
    </w:p>
    <w:p w14:paraId="7DAF248D" w14:textId="77777777" w:rsidR="00573577" w:rsidRPr="00573577" w:rsidRDefault="00573577" w:rsidP="005735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hierarchical models</w:t>
      </w:r>
    </w:p>
    <w:p w14:paraId="431A417D" w14:textId="77777777" w:rsidR="00573577" w:rsidRPr="00573577" w:rsidRDefault="00573577" w:rsidP="005735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models that separate within- and between-expert effects</w:t>
      </w:r>
    </w:p>
    <w:p w14:paraId="614F3372" w14:textId="77777777" w:rsidR="00573577" w:rsidRPr="00573577" w:rsidRDefault="00573577" w:rsidP="0057357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explicit modeling of attrition or continuation</w:t>
      </w:r>
    </w:p>
    <w:p w14:paraId="367590DB" w14:textId="77777777" w:rsidR="00573577" w:rsidRPr="00573577" w:rsidRDefault="00573577" w:rsidP="005735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73577">
        <w:rPr>
          <w:rFonts w:ascii="Times New Roman" w:eastAsia="Times New Roman" w:hAnsi="Times New Roman" w:cs="Times New Roman"/>
          <w:b/>
          <w:bCs/>
          <w:kern w:val="0"/>
          <w:sz w:val="36"/>
          <w:szCs w:val="36"/>
          <w14:ligatures w14:val="none"/>
        </w:rPr>
        <w:lastRenderedPageBreak/>
        <w:t>One Concise Takeaway</w:t>
      </w:r>
    </w:p>
    <w:p w14:paraId="5742DF60" w14:textId="77777777" w:rsidR="00573577" w:rsidRPr="00573577" w:rsidRDefault="00573577" w:rsidP="00573577">
      <w:pPr>
        <w:spacing w:before="100" w:beforeAutospacing="1" w:after="100" w:afterAutospacing="1" w:line="240" w:lineRule="auto"/>
        <w:rPr>
          <w:rFonts w:ascii="Times New Roman" w:eastAsia="Times New Roman" w:hAnsi="Times New Roman" w:cs="Times New Roman"/>
          <w:kern w:val="0"/>
          <w14:ligatures w14:val="none"/>
        </w:rPr>
      </w:pPr>
      <w:r w:rsidRPr="00573577">
        <w:rPr>
          <w:rFonts w:ascii="Times New Roman" w:eastAsia="Times New Roman" w:hAnsi="Times New Roman" w:cs="Times New Roman"/>
          <w:kern w:val="0"/>
          <w14:ligatures w14:val="none"/>
        </w:rPr>
        <w:t>A declining pooled outcome by sequence position is not enough to claim learning. You must check whether the same kinds of people are still contributing at later sequence positions.</w:t>
      </w:r>
    </w:p>
    <w:p w14:paraId="23AA1D96" w14:textId="77777777" w:rsidR="00573577" w:rsidRDefault="00573577"/>
    <w:p w14:paraId="535A6FD0" w14:textId="6716BF2C" w:rsidR="005836F8" w:rsidRDefault="005836F8">
      <w:r>
        <w:t xml:space="preserve">How to Verify Learning: </w:t>
      </w:r>
    </w:p>
    <w:p w14:paraId="14AD089D" w14:textId="73D50CC9" w:rsidR="005836F8" w:rsidRDefault="005836F8">
      <w:r>
        <w:t>True within-expert learning means the same expert’s CST declines as they gain experience. Composition effects mean the aggregate CST declines because later engagements are disproportionately contributed by experts who were already lower-CST to begin with. The key evidence is whether the decline remains after holding expert identity constant. If most individual expert trajectories slope downward, or if an expert fixed-effects model still shows a negative engagement-order effect, that supports real learning. If the decline largely disappears once expert identity is controlled for, then the aggregate pattern was mainly driven by composition.</w:t>
      </w:r>
    </w:p>
    <w:sectPr w:rsidR="00583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44E"/>
    <w:multiLevelType w:val="multilevel"/>
    <w:tmpl w:val="D9F0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13F5B"/>
    <w:multiLevelType w:val="multilevel"/>
    <w:tmpl w:val="86AC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112FC"/>
    <w:multiLevelType w:val="multilevel"/>
    <w:tmpl w:val="193E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E0A98"/>
    <w:multiLevelType w:val="multilevel"/>
    <w:tmpl w:val="3AD2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B0073"/>
    <w:multiLevelType w:val="multilevel"/>
    <w:tmpl w:val="B506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7C1543"/>
    <w:multiLevelType w:val="multilevel"/>
    <w:tmpl w:val="9B58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F0808"/>
    <w:multiLevelType w:val="multilevel"/>
    <w:tmpl w:val="7ED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173398">
    <w:abstractNumId w:val="2"/>
  </w:num>
  <w:num w:numId="2" w16cid:durableId="1366177974">
    <w:abstractNumId w:val="3"/>
  </w:num>
  <w:num w:numId="3" w16cid:durableId="1122917354">
    <w:abstractNumId w:val="4"/>
  </w:num>
  <w:num w:numId="4" w16cid:durableId="226039371">
    <w:abstractNumId w:val="5"/>
  </w:num>
  <w:num w:numId="5" w16cid:durableId="1117330146">
    <w:abstractNumId w:val="6"/>
  </w:num>
  <w:num w:numId="6" w16cid:durableId="1252857797">
    <w:abstractNumId w:val="1"/>
  </w:num>
  <w:num w:numId="7" w16cid:durableId="594436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77"/>
    <w:rsid w:val="00573577"/>
    <w:rsid w:val="005836F8"/>
    <w:rsid w:val="00BC1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1D15F4"/>
  <w15:chartTrackingRefBased/>
  <w15:docId w15:val="{A5F5D0B8-D1AF-E545-AA4F-06FCAF11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577"/>
    <w:rPr>
      <w:rFonts w:eastAsiaTheme="majorEastAsia" w:cstheme="majorBidi"/>
      <w:color w:val="272727" w:themeColor="text1" w:themeTint="D8"/>
    </w:rPr>
  </w:style>
  <w:style w:type="paragraph" w:styleId="Title">
    <w:name w:val="Title"/>
    <w:basedOn w:val="Normal"/>
    <w:next w:val="Normal"/>
    <w:link w:val="TitleChar"/>
    <w:uiPriority w:val="10"/>
    <w:qFormat/>
    <w:rsid w:val="00573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577"/>
    <w:pPr>
      <w:spacing w:before="160"/>
      <w:jc w:val="center"/>
    </w:pPr>
    <w:rPr>
      <w:i/>
      <w:iCs/>
      <w:color w:val="404040" w:themeColor="text1" w:themeTint="BF"/>
    </w:rPr>
  </w:style>
  <w:style w:type="character" w:customStyle="1" w:styleId="QuoteChar">
    <w:name w:val="Quote Char"/>
    <w:basedOn w:val="DefaultParagraphFont"/>
    <w:link w:val="Quote"/>
    <w:uiPriority w:val="29"/>
    <w:rsid w:val="00573577"/>
    <w:rPr>
      <w:i/>
      <w:iCs/>
      <w:color w:val="404040" w:themeColor="text1" w:themeTint="BF"/>
    </w:rPr>
  </w:style>
  <w:style w:type="paragraph" w:styleId="ListParagraph">
    <w:name w:val="List Paragraph"/>
    <w:basedOn w:val="Normal"/>
    <w:uiPriority w:val="34"/>
    <w:qFormat/>
    <w:rsid w:val="00573577"/>
    <w:pPr>
      <w:ind w:left="720"/>
      <w:contextualSpacing/>
    </w:pPr>
  </w:style>
  <w:style w:type="character" w:styleId="IntenseEmphasis">
    <w:name w:val="Intense Emphasis"/>
    <w:basedOn w:val="DefaultParagraphFont"/>
    <w:uiPriority w:val="21"/>
    <w:qFormat/>
    <w:rsid w:val="00573577"/>
    <w:rPr>
      <w:i/>
      <w:iCs/>
      <w:color w:val="0F4761" w:themeColor="accent1" w:themeShade="BF"/>
    </w:rPr>
  </w:style>
  <w:style w:type="paragraph" w:styleId="IntenseQuote">
    <w:name w:val="Intense Quote"/>
    <w:basedOn w:val="Normal"/>
    <w:next w:val="Normal"/>
    <w:link w:val="IntenseQuoteChar"/>
    <w:uiPriority w:val="30"/>
    <w:qFormat/>
    <w:rsid w:val="00573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577"/>
    <w:rPr>
      <w:i/>
      <w:iCs/>
      <w:color w:val="0F4761" w:themeColor="accent1" w:themeShade="BF"/>
    </w:rPr>
  </w:style>
  <w:style w:type="character" w:styleId="IntenseReference">
    <w:name w:val="Intense Reference"/>
    <w:basedOn w:val="DefaultParagraphFont"/>
    <w:uiPriority w:val="32"/>
    <w:qFormat/>
    <w:rsid w:val="00573577"/>
    <w:rPr>
      <w:b/>
      <w:bCs/>
      <w:smallCaps/>
      <w:color w:val="0F4761" w:themeColor="accent1" w:themeShade="BF"/>
      <w:spacing w:val="5"/>
    </w:rPr>
  </w:style>
  <w:style w:type="paragraph" w:styleId="NormalWeb">
    <w:name w:val="Normal (Web)"/>
    <w:basedOn w:val="Normal"/>
    <w:uiPriority w:val="99"/>
    <w:semiHidden/>
    <w:unhideWhenUsed/>
    <w:rsid w:val="005735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35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1021</Words>
  <Characters>5862</Characters>
  <Application>Microsoft Office Word</Application>
  <DocSecurity>0</DocSecurity>
  <Lines>124</Lines>
  <Paragraphs>111</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Sanders</dc:creator>
  <cp:keywords/>
  <dc:description/>
  <cp:lastModifiedBy>Scott Sanders</cp:lastModifiedBy>
  <cp:revision>2</cp:revision>
  <dcterms:created xsi:type="dcterms:W3CDTF">2026-04-16T16:29:00Z</dcterms:created>
  <dcterms:modified xsi:type="dcterms:W3CDTF">2026-04-16T16:34:00Z</dcterms:modified>
</cp:coreProperties>
</file>