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2D9E" w14:textId="77777777" w:rsidR="003E642B" w:rsidRPr="000D4DDB" w:rsidRDefault="001D5C38" w:rsidP="00BF2EBD">
      <w:pPr>
        <w:autoSpaceDE w:val="0"/>
        <w:autoSpaceDN w:val="0"/>
        <w:adjustRightInd w:val="0"/>
        <w:spacing w:after="0" w:line="240" w:lineRule="auto"/>
        <w:jc w:val="center"/>
        <w:rPr>
          <w:rFonts w:asciiTheme="minorHAnsi" w:hAnsiTheme="minorHAnsi" w:cstheme="minorHAnsi"/>
          <w:b/>
          <w:bCs/>
          <w:color w:val="auto"/>
          <w:sz w:val="40"/>
          <w:szCs w:val="40"/>
        </w:rPr>
      </w:pPr>
      <w:r w:rsidRPr="000D4DDB">
        <w:rPr>
          <w:rFonts w:asciiTheme="minorHAnsi" w:hAnsiTheme="minorHAnsi" w:cstheme="minorHAnsi"/>
          <w:b/>
          <w:bCs/>
          <w:color w:val="auto"/>
          <w:sz w:val="40"/>
          <w:szCs w:val="40"/>
        </w:rPr>
        <w:t>Monitoring Operational and Financial Performance</w:t>
      </w:r>
    </w:p>
    <w:p w14:paraId="20B4D05B" w14:textId="77777777" w:rsidR="001D5C38" w:rsidRPr="000D4DDB" w:rsidRDefault="001D5C38" w:rsidP="001D5C38">
      <w:pPr>
        <w:autoSpaceDE w:val="0"/>
        <w:autoSpaceDN w:val="0"/>
        <w:adjustRightInd w:val="0"/>
        <w:spacing w:after="0" w:line="240" w:lineRule="auto"/>
        <w:rPr>
          <w:rFonts w:asciiTheme="minorHAnsi" w:hAnsiTheme="minorHAnsi" w:cstheme="minorHAnsi"/>
          <w:b/>
          <w:bCs/>
          <w:color w:val="auto"/>
          <w:sz w:val="24"/>
          <w:szCs w:val="24"/>
        </w:rPr>
      </w:pPr>
    </w:p>
    <w:p w14:paraId="53A9F140" w14:textId="77777777" w:rsidR="00BF2EBD" w:rsidRPr="00517026" w:rsidRDefault="00BF2EBD" w:rsidP="00BF2EBD">
      <w:pPr>
        <w:autoSpaceDE w:val="0"/>
        <w:autoSpaceDN w:val="0"/>
        <w:adjustRightInd w:val="0"/>
        <w:spacing w:after="0" w:line="240" w:lineRule="auto"/>
        <w:jc w:val="center"/>
        <w:rPr>
          <w:rFonts w:asciiTheme="minorHAnsi" w:hAnsiTheme="minorHAnsi" w:cstheme="minorHAnsi"/>
          <w:b/>
          <w:bCs/>
          <w:color w:val="auto"/>
          <w:sz w:val="32"/>
          <w:szCs w:val="32"/>
          <w:u w:val="single"/>
        </w:rPr>
      </w:pPr>
    </w:p>
    <w:p w14:paraId="3998F4F3" w14:textId="77777777" w:rsidR="001D5C38" w:rsidRPr="00517026" w:rsidRDefault="001D5C38" w:rsidP="00BF2EBD">
      <w:pPr>
        <w:autoSpaceDE w:val="0"/>
        <w:autoSpaceDN w:val="0"/>
        <w:adjustRightInd w:val="0"/>
        <w:spacing w:after="0" w:line="240" w:lineRule="auto"/>
        <w:jc w:val="center"/>
        <w:rPr>
          <w:rFonts w:asciiTheme="minorHAnsi" w:hAnsiTheme="minorHAnsi" w:cstheme="minorHAnsi"/>
          <w:b/>
          <w:bCs/>
          <w:color w:val="auto"/>
          <w:sz w:val="32"/>
          <w:szCs w:val="32"/>
          <w:u w:val="single"/>
        </w:rPr>
      </w:pPr>
      <w:r w:rsidRPr="00517026">
        <w:rPr>
          <w:rFonts w:asciiTheme="minorHAnsi" w:hAnsiTheme="minorHAnsi" w:cstheme="minorHAnsi"/>
          <w:b/>
          <w:bCs/>
          <w:color w:val="auto"/>
          <w:sz w:val="32"/>
          <w:szCs w:val="32"/>
          <w:u w:val="single"/>
        </w:rPr>
        <w:t>Retail Strategy and Performance</w:t>
      </w:r>
    </w:p>
    <w:p w14:paraId="3BF9D9CE" w14:textId="77777777" w:rsidR="001D5C38" w:rsidRPr="00517026" w:rsidRDefault="001D5C38" w:rsidP="001D5C38">
      <w:pPr>
        <w:autoSpaceDE w:val="0"/>
        <w:autoSpaceDN w:val="0"/>
        <w:adjustRightInd w:val="0"/>
        <w:spacing w:after="0" w:line="240" w:lineRule="auto"/>
        <w:rPr>
          <w:rFonts w:asciiTheme="minorHAnsi" w:hAnsiTheme="minorHAnsi" w:cstheme="minorHAnsi"/>
          <w:b/>
          <w:bCs/>
          <w:color w:val="auto"/>
          <w:sz w:val="24"/>
          <w:szCs w:val="24"/>
        </w:rPr>
      </w:pPr>
    </w:p>
    <w:p w14:paraId="7B259145" w14:textId="77777777" w:rsidR="001D5C38" w:rsidRPr="00517026" w:rsidRDefault="001D5C38" w:rsidP="001D5C38">
      <w:pPr>
        <w:autoSpaceDE w:val="0"/>
        <w:autoSpaceDN w:val="0"/>
        <w:adjustRightInd w:val="0"/>
        <w:spacing w:after="0" w:line="360" w:lineRule="auto"/>
        <w:rPr>
          <w:rFonts w:asciiTheme="minorHAnsi" w:eastAsia="TimesNewRomanPSMT" w:hAnsiTheme="minorHAnsi" w:cstheme="minorHAnsi"/>
          <w:color w:val="auto"/>
          <w:sz w:val="24"/>
          <w:szCs w:val="24"/>
        </w:rPr>
      </w:pPr>
      <w:r w:rsidRPr="00517026">
        <w:rPr>
          <w:rFonts w:asciiTheme="minorHAnsi" w:eastAsia="TimesNewRomanPSMT" w:hAnsiTheme="minorHAnsi" w:cstheme="minorHAnsi"/>
          <w:color w:val="auto"/>
          <w:sz w:val="24"/>
          <w:szCs w:val="24"/>
        </w:rPr>
        <w:t>Different kinds of performa</w:t>
      </w:r>
      <w:bookmarkStart w:id="0" w:name="_GoBack"/>
      <w:bookmarkEnd w:id="0"/>
      <w:r w:rsidRPr="00517026">
        <w:rPr>
          <w:rFonts w:asciiTheme="minorHAnsi" w:eastAsia="TimesNewRomanPSMT" w:hAnsiTheme="minorHAnsi" w:cstheme="minorHAnsi"/>
          <w:color w:val="auto"/>
          <w:sz w:val="24"/>
          <w:szCs w:val="24"/>
        </w:rPr>
        <w:t>nce measures can be identified:</w:t>
      </w:r>
    </w:p>
    <w:p w14:paraId="6B42F14F" w14:textId="77777777" w:rsidR="001D5C38" w:rsidRPr="00517026" w:rsidRDefault="001D5C38" w:rsidP="001D5C38">
      <w:pPr>
        <w:pStyle w:val="ListParagraph"/>
        <w:numPr>
          <w:ilvl w:val="0"/>
          <w:numId w:val="2"/>
        </w:numPr>
        <w:autoSpaceDE w:val="0"/>
        <w:autoSpaceDN w:val="0"/>
        <w:adjustRightInd w:val="0"/>
        <w:spacing w:after="0" w:line="360" w:lineRule="auto"/>
        <w:rPr>
          <w:rFonts w:asciiTheme="minorHAnsi" w:eastAsia="TimesNewRomanPSMT" w:hAnsiTheme="minorHAnsi" w:cstheme="minorHAnsi"/>
          <w:color w:val="auto"/>
          <w:sz w:val="24"/>
          <w:szCs w:val="24"/>
        </w:rPr>
      </w:pPr>
      <w:r w:rsidRPr="00517026">
        <w:rPr>
          <w:rFonts w:asciiTheme="minorHAnsi" w:eastAsia="TimesNewRomanPSMT" w:hAnsiTheme="minorHAnsi" w:cstheme="minorHAnsi"/>
          <w:color w:val="auto"/>
          <w:sz w:val="24"/>
          <w:szCs w:val="24"/>
        </w:rPr>
        <w:t>productivity/effectiveness evaluation,</w:t>
      </w:r>
    </w:p>
    <w:p w14:paraId="02305D9D" w14:textId="77777777" w:rsidR="001D5C38" w:rsidRPr="00517026" w:rsidRDefault="001D5C38" w:rsidP="001D5C38">
      <w:pPr>
        <w:pStyle w:val="ListParagraph"/>
        <w:numPr>
          <w:ilvl w:val="0"/>
          <w:numId w:val="2"/>
        </w:numPr>
        <w:autoSpaceDE w:val="0"/>
        <w:autoSpaceDN w:val="0"/>
        <w:adjustRightInd w:val="0"/>
        <w:spacing w:after="0" w:line="360" w:lineRule="auto"/>
        <w:rPr>
          <w:rFonts w:asciiTheme="minorHAnsi" w:eastAsia="TimesNewRomanPSMT" w:hAnsiTheme="minorHAnsi" w:cstheme="minorHAnsi"/>
          <w:color w:val="auto"/>
          <w:sz w:val="24"/>
          <w:szCs w:val="24"/>
        </w:rPr>
      </w:pPr>
      <w:r w:rsidRPr="00517026">
        <w:rPr>
          <w:rFonts w:asciiTheme="minorHAnsi" w:eastAsia="TimesNewRomanPSMT" w:hAnsiTheme="minorHAnsi" w:cstheme="minorHAnsi"/>
          <w:color w:val="auto"/>
          <w:sz w:val="24"/>
          <w:szCs w:val="24"/>
        </w:rPr>
        <w:t>inventory/supply chain evaluation,</w:t>
      </w:r>
    </w:p>
    <w:p w14:paraId="1483F188" w14:textId="77777777" w:rsidR="001D5C38" w:rsidRPr="00517026" w:rsidRDefault="001D5C38" w:rsidP="001D5C38">
      <w:pPr>
        <w:pStyle w:val="ListParagraph"/>
        <w:numPr>
          <w:ilvl w:val="0"/>
          <w:numId w:val="2"/>
        </w:numPr>
        <w:autoSpaceDE w:val="0"/>
        <w:autoSpaceDN w:val="0"/>
        <w:adjustRightInd w:val="0"/>
        <w:spacing w:after="0" w:line="360" w:lineRule="auto"/>
        <w:rPr>
          <w:rFonts w:asciiTheme="minorHAnsi" w:eastAsia="TimesNewRomanPSMT" w:hAnsiTheme="minorHAnsi" w:cstheme="minorHAnsi"/>
          <w:color w:val="auto"/>
          <w:sz w:val="24"/>
          <w:szCs w:val="24"/>
          <w:lang w:val="de-DE"/>
        </w:rPr>
      </w:pPr>
      <w:proofErr w:type="spellStart"/>
      <w:r w:rsidRPr="00517026">
        <w:rPr>
          <w:rFonts w:asciiTheme="minorHAnsi" w:eastAsia="TimesNewRomanPSMT" w:hAnsiTheme="minorHAnsi" w:cstheme="minorHAnsi"/>
          <w:color w:val="auto"/>
          <w:sz w:val="24"/>
          <w:szCs w:val="24"/>
          <w:lang w:val="de-DE"/>
        </w:rPr>
        <w:t>profit</w:t>
      </w:r>
      <w:proofErr w:type="spellEnd"/>
      <w:r w:rsidRPr="00517026">
        <w:rPr>
          <w:rFonts w:asciiTheme="minorHAnsi" w:eastAsia="TimesNewRomanPSMT" w:hAnsiTheme="minorHAnsi" w:cstheme="minorHAnsi"/>
          <w:color w:val="auto"/>
          <w:sz w:val="24"/>
          <w:szCs w:val="24"/>
          <w:lang w:val="de-DE"/>
        </w:rPr>
        <w:t>/</w:t>
      </w:r>
      <w:proofErr w:type="spellStart"/>
      <w:r w:rsidRPr="00517026">
        <w:rPr>
          <w:rFonts w:asciiTheme="minorHAnsi" w:eastAsia="TimesNewRomanPSMT" w:hAnsiTheme="minorHAnsi" w:cstheme="minorHAnsi"/>
          <w:color w:val="auto"/>
          <w:sz w:val="24"/>
          <w:szCs w:val="24"/>
          <w:lang w:val="de-DE"/>
        </w:rPr>
        <w:t>turnover</w:t>
      </w:r>
      <w:proofErr w:type="spellEnd"/>
      <w:r w:rsidRPr="00517026">
        <w:rPr>
          <w:rFonts w:asciiTheme="minorHAnsi" w:eastAsia="TimesNewRomanPSMT" w:hAnsiTheme="minorHAnsi" w:cstheme="minorHAnsi"/>
          <w:color w:val="auto"/>
          <w:sz w:val="24"/>
          <w:szCs w:val="24"/>
          <w:lang w:val="de-DE"/>
        </w:rPr>
        <w:t xml:space="preserve"> </w:t>
      </w:r>
      <w:proofErr w:type="spellStart"/>
      <w:r w:rsidRPr="00517026">
        <w:rPr>
          <w:rFonts w:asciiTheme="minorHAnsi" w:eastAsia="TimesNewRomanPSMT" w:hAnsiTheme="minorHAnsi" w:cstheme="minorHAnsi"/>
          <w:color w:val="auto"/>
          <w:sz w:val="24"/>
          <w:szCs w:val="24"/>
          <w:lang w:val="de-DE"/>
        </w:rPr>
        <w:t>evaluation</w:t>
      </w:r>
      <w:proofErr w:type="spellEnd"/>
      <w:r w:rsidRPr="00517026">
        <w:rPr>
          <w:rFonts w:asciiTheme="minorHAnsi" w:eastAsia="TimesNewRomanPSMT" w:hAnsiTheme="minorHAnsi" w:cstheme="minorHAnsi"/>
          <w:color w:val="auto"/>
          <w:sz w:val="24"/>
          <w:szCs w:val="24"/>
          <w:lang w:val="de-DE"/>
        </w:rPr>
        <w:t>,</w:t>
      </w:r>
    </w:p>
    <w:p w14:paraId="24D5A94E" w14:textId="77777777" w:rsidR="001D5C38" w:rsidRPr="00517026" w:rsidRDefault="001D5C38" w:rsidP="001D5C38">
      <w:pPr>
        <w:pStyle w:val="ListParagraph"/>
        <w:numPr>
          <w:ilvl w:val="0"/>
          <w:numId w:val="2"/>
        </w:numPr>
        <w:autoSpaceDE w:val="0"/>
        <w:autoSpaceDN w:val="0"/>
        <w:adjustRightInd w:val="0"/>
        <w:spacing w:after="0" w:line="360" w:lineRule="auto"/>
        <w:rPr>
          <w:rFonts w:asciiTheme="minorHAnsi" w:eastAsia="TimesNewRomanPSMT" w:hAnsiTheme="minorHAnsi" w:cstheme="minorHAnsi"/>
          <w:color w:val="auto"/>
          <w:sz w:val="24"/>
          <w:szCs w:val="24"/>
          <w:lang w:val="de-DE"/>
        </w:rPr>
      </w:pPr>
      <w:proofErr w:type="spellStart"/>
      <w:r w:rsidRPr="00517026">
        <w:rPr>
          <w:rFonts w:asciiTheme="minorHAnsi" w:eastAsia="TimesNewRomanPSMT" w:hAnsiTheme="minorHAnsi" w:cstheme="minorHAnsi"/>
          <w:color w:val="auto"/>
          <w:sz w:val="24"/>
          <w:szCs w:val="24"/>
          <w:lang w:val="de-DE"/>
        </w:rPr>
        <w:t>financial</w:t>
      </w:r>
      <w:proofErr w:type="spellEnd"/>
      <w:r w:rsidRPr="00517026">
        <w:rPr>
          <w:rFonts w:asciiTheme="minorHAnsi" w:eastAsia="TimesNewRomanPSMT" w:hAnsiTheme="minorHAnsi" w:cstheme="minorHAnsi"/>
          <w:color w:val="auto"/>
          <w:sz w:val="24"/>
          <w:szCs w:val="24"/>
          <w:lang w:val="de-DE"/>
        </w:rPr>
        <w:t xml:space="preserve"> </w:t>
      </w:r>
      <w:proofErr w:type="spellStart"/>
      <w:r w:rsidRPr="00517026">
        <w:rPr>
          <w:rFonts w:asciiTheme="minorHAnsi" w:eastAsia="TimesNewRomanPSMT" w:hAnsiTheme="minorHAnsi" w:cstheme="minorHAnsi"/>
          <w:color w:val="auto"/>
          <w:sz w:val="24"/>
          <w:szCs w:val="24"/>
          <w:lang w:val="de-DE"/>
        </w:rPr>
        <w:t>performance</w:t>
      </w:r>
      <w:proofErr w:type="spellEnd"/>
      <w:r w:rsidRPr="00517026">
        <w:rPr>
          <w:rFonts w:asciiTheme="minorHAnsi" w:eastAsia="TimesNewRomanPSMT" w:hAnsiTheme="minorHAnsi" w:cstheme="minorHAnsi"/>
          <w:color w:val="auto"/>
          <w:sz w:val="24"/>
          <w:szCs w:val="24"/>
          <w:lang w:val="de-DE"/>
        </w:rPr>
        <w:t xml:space="preserve"> </w:t>
      </w:r>
      <w:proofErr w:type="spellStart"/>
      <w:r w:rsidRPr="00517026">
        <w:rPr>
          <w:rFonts w:asciiTheme="minorHAnsi" w:eastAsia="TimesNewRomanPSMT" w:hAnsiTheme="minorHAnsi" w:cstheme="minorHAnsi"/>
          <w:color w:val="auto"/>
          <w:sz w:val="24"/>
          <w:szCs w:val="24"/>
          <w:lang w:val="de-DE"/>
        </w:rPr>
        <w:t>evaluation</w:t>
      </w:r>
      <w:proofErr w:type="spellEnd"/>
      <w:r w:rsidRPr="00517026">
        <w:rPr>
          <w:rFonts w:asciiTheme="minorHAnsi" w:eastAsia="TimesNewRomanPSMT" w:hAnsiTheme="minorHAnsi" w:cstheme="minorHAnsi"/>
          <w:color w:val="auto"/>
          <w:sz w:val="24"/>
          <w:szCs w:val="24"/>
          <w:lang w:val="de-DE"/>
        </w:rPr>
        <w:t>.</w:t>
      </w:r>
    </w:p>
    <w:p w14:paraId="33CCD6F9" w14:textId="77777777" w:rsidR="001D5C38" w:rsidRPr="00517026" w:rsidRDefault="001D5C38" w:rsidP="001D5C38">
      <w:pPr>
        <w:autoSpaceDE w:val="0"/>
        <w:autoSpaceDN w:val="0"/>
        <w:adjustRightInd w:val="0"/>
        <w:spacing w:after="0" w:line="240" w:lineRule="auto"/>
        <w:rPr>
          <w:rFonts w:asciiTheme="minorHAnsi" w:eastAsia="TimesNewRomanPSMT" w:hAnsiTheme="minorHAnsi" w:cstheme="minorHAnsi"/>
          <w:color w:val="auto"/>
          <w:sz w:val="24"/>
          <w:szCs w:val="24"/>
          <w:lang w:val="de-DE"/>
        </w:rPr>
      </w:pPr>
    </w:p>
    <w:p w14:paraId="545FECCA" w14:textId="77777777" w:rsidR="001D5C38" w:rsidRPr="00517026" w:rsidRDefault="001D5C38" w:rsidP="001D5C38">
      <w:pPr>
        <w:pStyle w:val="ListParagraph"/>
        <w:numPr>
          <w:ilvl w:val="0"/>
          <w:numId w:val="3"/>
        </w:numPr>
        <w:autoSpaceDE w:val="0"/>
        <w:autoSpaceDN w:val="0"/>
        <w:adjustRightInd w:val="0"/>
        <w:spacing w:after="0" w:line="360" w:lineRule="auto"/>
        <w:ind w:left="36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Productivity relates a single input factor to an output measure, other inputs assumed constant.</w:t>
      </w:r>
    </w:p>
    <w:p w14:paraId="7F0BF585" w14:textId="77777777" w:rsidR="001D5C38" w:rsidRPr="00517026" w:rsidRDefault="001D5C38" w:rsidP="001D5C38">
      <w:pPr>
        <w:pStyle w:val="ListParagraph"/>
        <w:numPr>
          <w:ilvl w:val="0"/>
          <w:numId w:val="3"/>
        </w:numPr>
        <w:autoSpaceDE w:val="0"/>
        <w:autoSpaceDN w:val="0"/>
        <w:adjustRightInd w:val="0"/>
        <w:spacing w:after="0" w:line="360" w:lineRule="auto"/>
        <w:ind w:left="360"/>
        <w:jc w:val="both"/>
        <w:rPr>
          <w:rFonts w:asciiTheme="minorHAnsi" w:hAnsiTheme="minorHAnsi" w:cstheme="minorHAnsi"/>
          <w:color w:val="auto"/>
          <w:sz w:val="24"/>
          <w:szCs w:val="24"/>
        </w:rPr>
      </w:pPr>
      <w:r w:rsidRPr="00517026">
        <w:rPr>
          <w:rFonts w:asciiTheme="minorHAnsi" w:eastAsia="TimesNewRomanPSMT" w:hAnsiTheme="minorHAnsi" w:cstheme="minorHAnsi"/>
          <w:color w:val="auto"/>
          <w:sz w:val="24"/>
          <w:szCs w:val="24"/>
        </w:rPr>
        <w:t xml:space="preserve">Efficiency measures the effects of all inputs in combination and thus </w:t>
      </w:r>
      <w:proofErr w:type="spellStart"/>
      <w:r w:rsidRPr="00517026">
        <w:rPr>
          <w:rFonts w:asciiTheme="minorHAnsi" w:eastAsia="TimesNewRomanPSMT" w:hAnsiTheme="minorHAnsi" w:cstheme="minorHAnsi"/>
          <w:color w:val="auto"/>
          <w:sz w:val="24"/>
          <w:szCs w:val="24"/>
        </w:rPr>
        <w:t>recognises</w:t>
      </w:r>
      <w:proofErr w:type="spellEnd"/>
      <w:r w:rsidRPr="00517026">
        <w:rPr>
          <w:rFonts w:asciiTheme="minorHAnsi" w:eastAsia="TimesNewRomanPSMT" w:hAnsiTheme="minorHAnsi" w:cstheme="minorHAnsi"/>
          <w:color w:val="auto"/>
          <w:sz w:val="24"/>
          <w:szCs w:val="24"/>
        </w:rPr>
        <w:t xml:space="preserve"> that </w:t>
      </w:r>
      <w:r w:rsidRPr="00517026">
        <w:rPr>
          <w:rFonts w:asciiTheme="minorHAnsi" w:hAnsiTheme="minorHAnsi" w:cstheme="minorHAnsi"/>
          <w:color w:val="auto"/>
          <w:sz w:val="24"/>
          <w:szCs w:val="24"/>
        </w:rPr>
        <w:t>all inputs and the proportions in which they are employed may vary.</w:t>
      </w:r>
    </w:p>
    <w:p w14:paraId="08D6DDFD" w14:textId="77777777" w:rsidR="001D5C38" w:rsidRPr="00517026" w:rsidRDefault="001D5C38" w:rsidP="001D5C38">
      <w:pPr>
        <w:pStyle w:val="ListParagraph"/>
        <w:numPr>
          <w:ilvl w:val="0"/>
          <w:numId w:val="3"/>
        </w:numPr>
        <w:autoSpaceDE w:val="0"/>
        <w:autoSpaceDN w:val="0"/>
        <w:adjustRightInd w:val="0"/>
        <w:spacing w:after="0" w:line="360" w:lineRule="auto"/>
        <w:ind w:left="360"/>
        <w:rPr>
          <w:rFonts w:asciiTheme="minorHAnsi" w:hAnsiTheme="minorHAnsi" w:cstheme="minorHAnsi"/>
          <w:color w:val="auto"/>
          <w:sz w:val="24"/>
          <w:szCs w:val="24"/>
        </w:rPr>
      </w:pPr>
      <w:r w:rsidRPr="00517026">
        <w:rPr>
          <w:rFonts w:asciiTheme="minorHAnsi" w:eastAsia="TimesNewRomanPSMT" w:hAnsiTheme="minorHAnsi" w:cstheme="minorHAnsi"/>
          <w:color w:val="auto"/>
          <w:sz w:val="24"/>
          <w:szCs w:val="24"/>
        </w:rPr>
        <w:t>Effectiveness takes into account goal achievement as well.</w:t>
      </w:r>
    </w:p>
    <w:p w14:paraId="360EF154" w14:textId="77777777" w:rsidR="001D5C38" w:rsidRPr="00517026" w:rsidRDefault="001D5C38" w:rsidP="003B4725">
      <w:pPr>
        <w:spacing w:line="360" w:lineRule="auto"/>
        <w:ind w:firstLine="36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These measures are distinct, but there is a hierarchical relationship between them (Goodman 1985, p. 78): </w:t>
      </w:r>
      <w:r w:rsidRPr="00517026">
        <w:rPr>
          <w:rFonts w:asciiTheme="minorHAnsi" w:hAnsiTheme="minorHAnsi" w:cstheme="minorHAnsi"/>
          <w:b/>
          <w:color w:val="auto"/>
          <w:sz w:val="24"/>
          <w:szCs w:val="24"/>
        </w:rPr>
        <w:t>“</w:t>
      </w:r>
      <w:r w:rsidRPr="00517026">
        <w:rPr>
          <w:rFonts w:asciiTheme="minorHAnsi" w:hAnsiTheme="minorHAnsi" w:cstheme="minorHAnsi"/>
          <w:i/>
          <w:color w:val="auto"/>
          <w:sz w:val="24"/>
          <w:szCs w:val="24"/>
        </w:rPr>
        <w:t>High productivity is a necessary but not sufficient condition for high efficiency, as individual productive factors may not be combined in an optimal manner. Similarly, high efficiency is a necessary but not sufficient condition for high effectiveness, as the efficient combination may be directed to less than optimal goals</w:t>
      </w:r>
      <w:r w:rsidRPr="00517026">
        <w:rPr>
          <w:rFonts w:asciiTheme="minorHAnsi" w:hAnsiTheme="minorHAnsi" w:cstheme="minorHAnsi"/>
          <w:color w:val="auto"/>
          <w:sz w:val="24"/>
          <w:szCs w:val="24"/>
        </w:rPr>
        <w:t>.”</w:t>
      </w:r>
    </w:p>
    <w:p w14:paraId="764CE2C1" w14:textId="77777777" w:rsidR="003B4725" w:rsidRPr="00517026" w:rsidRDefault="003B4725" w:rsidP="001D5C38">
      <w:pPr>
        <w:spacing w:line="360" w:lineRule="auto"/>
        <w:jc w:val="both"/>
        <w:rPr>
          <w:rFonts w:asciiTheme="minorHAnsi" w:hAnsiTheme="minorHAnsi" w:cstheme="minorHAnsi"/>
          <w:b/>
          <w:color w:val="auto"/>
          <w:sz w:val="24"/>
          <w:szCs w:val="24"/>
        </w:rPr>
      </w:pPr>
      <w:r w:rsidRPr="00517026">
        <w:rPr>
          <w:rFonts w:asciiTheme="minorHAnsi" w:hAnsiTheme="minorHAnsi" w:cstheme="minorHAnsi"/>
          <w:b/>
          <w:color w:val="auto"/>
          <w:sz w:val="28"/>
          <w:szCs w:val="28"/>
        </w:rPr>
        <w:t>Productivity/Effectiveness Evaluation</w:t>
      </w:r>
      <w:r w:rsidRPr="00517026">
        <w:rPr>
          <w:rFonts w:asciiTheme="minorHAnsi" w:hAnsiTheme="minorHAnsi" w:cstheme="minorHAnsi"/>
          <w:b/>
          <w:color w:val="auto"/>
          <w:sz w:val="24"/>
          <w:szCs w:val="24"/>
        </w:rPr>
        <w:t>:</w:t>
      </w:r>
    </w:p>
    <w:p w14:paraId="7EA3EBA3" w14:textId="77777777" w:rsidR="003B4725" w:rsidRPr="00517026" w:rsidRDefault="003B4725" w:rsidP="003B4725">
      <w:p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The most common ratios are:</w:t>
      </w:r>
    </w:p>
    <w:p w14:paraId="7193D136" w14:textId="77777777" w:rsidR="003B4725" w:rsidRPr="00517026" w:rsidRDefault="003B4725" w:rsidP="003B4725">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sales per square </w:t>
      </w:r>
      <w:proofErr w:type="spellStart"/>
      <w:r w:rsidRPr="00517026">
        <w:rPr>
          <w:rFonts w:asciiTheme="minorHAnsi" w:hAnsiTheme="minorHAnsi" w:cstheme="minorHAnsi"/>
          <w:color w:val="auto"/>
          <w:sz w:val="24"/>
          <w:szCs w:val="24"/>
        </w:rPr>
        <w:t>metre</w:t>
      </w:r>
      <w:proofErr w:type="spellEnd"/>
      <w:r w:rsidRPr="00517026">
        <w:rPr>
          <w:rFonts w:asciiTheme="minorHAnsi" w:hAnsiTheme="minorHAnsi" w:cstheme="minorHAnsi"/>
          <w:color w:val="auto"/>
          <w:sz w:val="24"/>
          <w:szCs w:val="24"/>
        </w:rPr>
        <w:t xml:space="preserve"> (or square foot),</w:t>
      </w:r>
    </w:p>
    <w:p w14:paraId="4ECDEE57" w14:textId="77777777" w:rsidR="003B4725" w:rsidRPr="00517026" w:rsidRDefault="003B4725" w:rsidP="003B4725">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sales per employee (</w:t>
      </w:r>
      <w:proofErr w:type="spellStart"/>
      <w:r w:rsidRPr="00517026">
        <w:rPr>
          <w:rFonts w:asciiTheme="minorHAnsi" w:hAnsiTheme="minorHAnsi" w:cstheme="minorHAnsi"/>
          <w:color w:val="auto"/>
          <w:sz w:val="24"/>
          <w:szCs w:val="24"/>
        </w:rPr>
        <w:t>i</w:t>
      </w:r>
      <w:proofErr w:type="spellEnd"/>
      <w:r w:rsidRPr="00517026">
        <w:rPr>
          <w:rFonts w:asciiTheme="minorHAnsi" w:hAnsiTheme="minorHAnsi" w:cstheme="minorHAnsi"/>
          <w:color w:val="auto"/>
          <w:sz w:val="24"/>
          <w:szCs w:val="24"/>
        </w:rPr>
        <w:t>. e., per full-time equivalent, FTE).</w:t>
      </w:r>
    </w:p>
    <w:p w14:paraId="4D3D64D5" w14:textId="77777777" w:rsidR="003B4725" w:rsidRPr="00517026" w:rsidRDefault="003B4725" w:rsidP="003B4725">
      <w:pPr>
        <w:spacing w:line="360" w:lineRule="auto"/>
        <w:ind w:firstLine="36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The considerable differences within and between the sectors. It is important to note that the lower of these measures does not necessarily mean lower effectiveness. “A relatively high number and/or quality of staff may be a natural outcome of higher service </w:t>
      </w:r>
      <w:r w:rsidRPr="00517026">
        <w:rPr>
          <w:rFonts w:asciiTheme="minorHAnsi" w:hAnsiTheme="minorHAnsi" w:cstheme="minorHAnsi"/>
          <w:color w:val="auto"/>
          <w:sz w:val="24"/>
          <w:szCs w:val="24"/>
        </w:rPr>
        <w:lastRenderedPageBreak/>
        <w:t>positioning. Likewise, more space per unit of sales could reflect a more comfortable selling environment”.</w:t>
      </w:r>
    </w:p>
    <w:p w14:paraId="4752286E" w14:textId="77777777" w:rsidR="003B4725" w:rsidRPr="00517026" w:rsidRDefault="003B4725" w:rsidP="003B4725">
      <w:pPr>
        <w:spacing w:line="36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t>Inventory/Supply Chain Evaluation</w:t>
      </w:r>
    </w:p>
    <w:p w14:paraId="35E5D0C3" w14:textId="77777777" w:rsidR="003B4725" w:rsidRPr="00517026" w:rsidRDefault="003B4725" w:rsidP="003B4725">
      <w:pPr>
        <w:spacing w:line="360" w:lineRule="auto"/>
        <w:ind w:firstLine="36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Retailers apply two main metrics for financial inventory control:</w:t>
      </w:r>
    </w:p>
    <w:p w14:paraId="4C86A9A6" w14:textId="77777777" w:rsidR="003B4725" w:rsidRPr="00517026" w:rsidRDefault="003B4725" w:rsidP="003B4725">
      <w:pPr>
        <w:pStyle w:val="ListParagraph"/>
        <w:numPr>
          <w:ilvl w:val="0"/>
          <w:numId w:val="2"/>
        </w:numPr>
        <w:spacing w:line="24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stock turnover</w:t>
      </w:r>
    </w:p>
    <w:p w14:paraId="652712DB" w14:textId="77777777" w:rsidR="00C96D1A" w:rsidRPr="00517026" w:rsidRDefault="003B4725" w:rsidP="00C96D1A">
      <w:pPr>
        <w:pStyle w:val="ListParagraph"/>
        <w:numPr>
          <w:ilvl w:val="0"/>
          <w:numId w:val="2"/>
        </w:numPr>
        <w:spacing w:line="24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gross margin return on investment.</w:t>
      </w:r>
    </w:p>
    <w:p w14:paraId="270B3553" w14:textId="77777777" w:rsidR="00C96D1A" w:rsidRPr="00517026" w:rsidRDefault="00C96D1A" w:rsidP="00C96D1A">
      <w:pPr>
        <w:pStyle w:val="ListParagraph"/>
        <w:spacing w:line="240" w:lineRule="auto"/>
        <w:jc w:val="both"/>
        <w:rPr>
          <w:rFonts w:asciiTheme="minorHAnsi" w:hAnsiTheme="minorHAnsi" w:cstheme="minorHAnsi"/>
          <w:color w:val="auto"/>
          <w:sz w:val="24"/>
          <w:szCs w:val="24"/>
        </w:rPr>
      </w:pPr>
    </w:p>
    <w:p w14:paraId="74097BDA" w14:textId="77777777" w:rsidR="00730B2E" w:rsidRPr="00517026" w:rsidRDefault="00730B2E" w:rsidP="00C96D1A">
      <w:pPr>
        <w:spacing w:line="240" w:lineRule="auto"/>
        <w:jc w:val="both"/>
        <w:rPr>
          <w:rFonts w:asciiTheme="minorHAnsi" w:hAnsiTheme="minorHAnsi" w:cstheme="minorHAnsi"/>
          <w:color w:val="auto"/>
          <w:sz w:val="24"/>
          <w:szCs w:val="24"/>
        </w:rPr>
      </w:pPr>
      <w:r w:rsidRPr="00517026">
        <w:rPr>
          <w:rFonts w:asciiTheme="minorHAnsi" w:hAnsiTheme="minorHAnsi" w:cstheme="minorHAnsi"/>
          <w:noProof/>
        </w:rPr>
        <w:drawing>
          <wp:inline distT="0" distB="0" distL="0" distR="0" wp14:anchorId="31BE6FAE" wp14:editId="71CF3628">
            <wp:extent cx="5943600" cy="566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64835"/>
                    </a:xfrm>
                    <a:prstGeom prst="rect">
                      <a:avLst/>
                    </a:prstGeom>
                  </pic:spPr>
                </pic:pic>
              </a:graphicData>
            </a:graphic>
          </wp:inline>
        </w:drawing>
      </w:r>
    </w:p>
    <w:p w14:paraId="2AE15E12" w14:textId="77777777" w:rsidR="00BF2EBD" w:rsidRPr="00517026" w:rsidRDefault="00BF2EBD">
      <w:pPr>
        <w:rPr>
          <w:rFonts w:asciiTheme="minorHAnsi" w:hAnsiTheme="minorHAnsi" w:cstheme="minorHAnsi"/>
          <w:b/>
          <w:color w:val="auto"/>
          <w:sz w:val="28"/>
          <w:szCs w:val="28"/>
        </w:rPr>
      </w:pPr>
      <w:r w:rsidRPr="00517026">
        <w:rPr>
          <w:rFonts w:asciiTheme="minorHAnsi" w:hAnsiTheme="minorHAnsi" w:cstheme="minorHAnsi"/>
          <w:b/>
          <w:color w:val="auto"/>
          <w:sz w:val="28"/>
          <w:szCs w:val="28"/>
        </w:rPr>
        <w:br w:type="page"/>
      </w:r>
    </w:p>
    <w:p w14:paraId="22E2A664" w14:textId="77777777" w:rsidR="00730B2E" w:rsidRPr="00517026" w:rsidRDefault="00730B2E" w:rsidP="00BF2EBD">
      <w:pPr>
        <w:spacing w:line="360" w:lineRule="auto"/>
        <w:jc w:val="center"/>
        <w:rPr>
          <w:rFonts w:asciiTheme="minorHAnsi" w:hAnsiTheme="minorHAnsi" w:cstheme="minorHAnsi"/>
          <w:b/>
          <w:color w:val="auto"/>
          <w:sz w:val="32"/>
          <w:szCs w:val="32"/>
          <w:u w:val="single"/>
        </w:rPr>
      </w:pPr>
      <w:r w:rsidRPr="00517026">
        <w:rPr>
          <w:rFonts w:asciiTheme="minorHAnsi" w:hAnsiTheme="minorHAnsi" w:cstheme="minorHAnsi"/>
          <w:b/>
          <w:color w:val="auto"/>
          <w:sz w:val="32"/>
          <w:szCs w:val="32"/>
          <w:u w:val="single"/>
        </w:rPr>
        <w:lastRenderedPageBreak/>
        <w:t>Profit/Turnover Evaluation</w:t>
      </w:r>
    </w:p>
    <w:p w14:paraId="6C16199A" w14:textId="77777777" w:rsidR="002F0477" w:rsidRPr="00517026" w:rsidRDefault="002F0477" w:rsidP="002F0477">
      <w:pPr>
        <w:spacing w:line="36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t>Profitability Ratios</w:t>
      </w:r>
    </w:p>
    <w:p w14:paraId="26E10988" w14:textId="77777777" w:rsidR="00CD3928" w:rsidRPr="00517026" w:rsidRDefault="00CD3928" w:rsidP="00CD3928">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Metrics from this group are designed to measure a retailer’s ability to achieve, sustain and increase profits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Profitability can be measured by different indicators. One important relationship is between profits and sales (margin ratios); another dimension 444 20 Monitoring Operational and Financial Performance of profitability relates profits to capital. These so-called return ratios are discussed below within the context of financial performance evaluation.</w:t>
      </w:r>
    </w:p>
    <w:p w14:paraId="22375F21" w14:textId="77777777" w:rsidR="00CD3928" w:rsidRPr="00517026" w:rsidRDefault="00CD3928"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The “top level” indicators of profitability are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w:t>
      </w:r>
    </w:p>
    <w:p w14:paraId="41493BB9" w14:textId="77777777" w:rsidR="00CD3928" w:rsidRPr="00517026" w:rsidRDefault="00CD3928" w:rsidP="00C96D1A">
      <w:pPr>
        <w:pStyle w:val="ListParagraph"/>
        <w:numPr>
          <w:ilvl w:val="0"/>
          <w:numId w:val="2"/>
        </w:numPr>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gross margin in %, </w:t>
      </w:r>
    </w:p>
    <w:p w14:paraId="3184EDAB" w14:textId="77777777" w:rsidR="00CD3928" w:rsidRPr="00517026" w:rsidRDefault="00CD3928" w:rsidP="00C96D1A">
      <w:pPr>
        <w:pStyle w:val="ListParagraph"/>
        <w:numPr>
          <w:ilvl w:val="0"/>
          <w:numId w:val="2"/>
        </w:numPr>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net profit margin in %.</w:t>
      </w:r>
    </w:p>
    <w:p w14:paraId="539E7B35" w14:textId="77777777" w:rsidR="00CD3928" w:rsidRPr="00517026" w:rsidRDefault="00CD3928" w:rsidP="00CD3928">
      <w:pPr>
        <w:spacing w:line="360" w:lineRule="auto"/>
        <w:jc w:val="center"/>
        <w:rPr>
          <w:rFonts w:asciiTheme="minorHAnsi" w:hAnsiTheme="minorHAnsi" w:cstheme="minorHAnsi"/>
          <w:b/>
          <w:color w:val="auto"/>
          <w:sz w:val="24"/>
          <w:szCs w:val="24"/>
        </w:rPr>
      </w:pPr>
      <w:r w:rsidRPr="00517026">
        <w:rPr>
          <w:rFonts w:asciiTheme="minorHAnsi" w:hAnsiTheme="minorHAnsi" w:cstheme="minorHAnsi"/>
          <w:b/>
          <w:color w:val="auto"/>
          <w:sz w:val="24"/>
          <w:szCs w:val="24"/>
        </w:rPr>
        <w:t>Gross margin = net sales − costs of goods sold</w:t>
      </w:r>
    </w:p>
    <w:p w14:paraId="01E9820A" w14:textId="77777777" w:rsidR="00CD3928" w:rsidRPr="00517026" w:rsidRDefault="00CD3928"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color w:val="auto"/>
          <w:sz w:val="24"/>
          <w:szCs w:val="24"/>
        </w:rPr>
        <w:drawing>
          <wp:inline distT="0" distB="0" distL="0" distR="0" wp14:anchorId="2A80FD08" wp14:editId="3177D7ED">
            <wp:extent cx="5943380" cy="385638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9" cy="3858050"/>
                    </a:xfrm>
                    <a:prstGeom prst="rect">
                      <a:avLst/>
                    </a:prstGeom>
                  </pic:spPr>
                </pic:pic>
              </a:graphicData>
            </a:graphic>
          </wp:inline>
        </w:drawing>
      </w:r>
    </w:p>
    <w:p w14:paraId="1D37E778" w14:textId="77777777" w:rsidR="00517026" w:rsidRDefault="00517026" w:rsidP="00CD3928">
      <w:pPr>
        <w:spacing w:line="360" w:lineRule="auto"/>
        <w:jc w:val="both"/>
        <w:rPr>
          <w:rFonts w:asciiTheme="minorHAnsi" w:hAnsiTheme="minorHAnsi" w:cstheme="minorHAnsi"/>
          <w:b/>
          <w:color w:val="auto"/>
          <w:sz w:val="28"/>
          <w:szCs w:val="28"/>
        </w:rPr>
      </w:pPr>
    </w:p>
    <w:p w14:paraId="762E6EAE" w14:textId="1CEBCD83" w:rsidR="00CD3928" w:rsidRPr="00517026" w:rsidRDefault="00CD3928" w:rsidP="00CD3928">
      <w:pPr>
        <w:spacing w:line="36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lastRenderedPageBreak/>
        <w:t>Profit Path</w:t>
      </w:r>
    </w:p>
    <w:p w14:paraId="6E58FA21" w14:textId="77777777" w:rsidR="00CD3928" w:rsidRPr="00517026" w:rsidRDefault="00CD3928"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Expenses are the costs incurred by a retail company in the normal course of business. There are three types of retail operating expenses (Levy et al. 2014, p. 162):</w:t>
      </w:r>
    </w:p>
    <w:p w14:paraId="6680AA90" w14:textId="77777777" w:rsidR="00CD3928" w:rsidRPr="00517026" w:rsidRDefault="00CD3928" w:rsidP="00C96D1A">
      <w:pPr>
        <w:pStyle w:val="ListParagraph"/>
        <w:numPr>
          <w:ilvl w:val="0"/>
          <w:numId w:val="2"/>
        </w:numPr>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Selling expenses,</w:t>
      </w:r>
    </w:p>
    <w:p w14:paraId="711C49C6" w14:textId="77777777" w:rsidR="00CD3928" w:rsidRPr="00517026" w:rsidRDefault="00CD3928" w:rsidP="00C96D1A">
      <w:pPr>
        <w:pStyle w:val="ListParagraph"/>
        <w:numPr>
          <w:ilvl w:val="0"/>
          <w:numId w:val="2"/>
        </w:numPr>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general expenses,</w:t>
      </w:r>
    </w:p>
    <w:p w14:paraId="65472D9C" w14:textId="77777777" w:rsidR="00CD3928" w:rsidRPr="00517026" w:rsidRDefault="00CD3928" w:rsidP="00C96D1A">
      <w:pPr>
        <w:pStyle w:val="ListParagraph"/>
        <w:numPr>
          <w:ilvl w:val="0"/>
          <w:numId w:val="2"/>
        </w:numPr>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administrative expenses.</w:t>
      </w:r>
    </w:p>
    <w:p w14:paraId="76AD9D19" w14:textId="77777777" w:rsidR="00CD3928" w:rsidRPr="00517026" w:rsidRDefault="00CD3928"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b/>
          <w:i/>
          <w:color w:val="auto"/>
          <w:sz w:val="24"/>
          <w:szCs w:val="24"/>
        </w:rPr>
        <w:t>Selling expenses</w:t>
      </w:r>
      <w:r w:rsidRPr="00517026">
        <w:rPr>
          <w:rFonts w:asciiTheme="minorHAnsi" w:hAnsiTheme="minorHAnsi" w:cstheme="minorHAnsi"/>
          <w:color w:val="auto"/>
          <w:sz w:val="24"/>
          <w:szCs w:val="24"/>
        </w:rPr>
        <w:t xml:space="preserve"> comprise sales staff salaries, commission and benefits. </w:t>
      </w:r>
      <w:r w:rsidRPr="00517026">
        <w:rPr>
          <w:rFonts w:asciiTheme="minorHAnsi" w:hAnsiTheme="minorHAnsi" w:cstheme="minorHAnsi"/>
          <w:b/>
          <w:i/>
          <w:color w:val="auto"/>
          <w:sz w:val="24"/>
          <w:szCs w:val="24"/>
        </w:rPr>
        <w:t>General expenses</w:t>
      </w:r>
      <w:r w:rsidRPr="00517026">
        <w:rPr>
          <w:rFonts w:asciiTheme="minorHAnsi" w:hAnsiTheme="minorHAnsi" w:cstheme="minorHAnsi"/>
          <w:color w:val="auto"/>
          <w:sz w:val="24"/>
          <w:szCs w:val="24"/>
        </w:rPr>
        <w:t xml:space="preserve"> include rent and utilities. </w:t>
      </w:r>
      <w:r w:rsidRPr="00517026">
        <w:rPr>
          <w:rFonts w:asciiTheme="minorHAnsi" w:hAnsiTheme="minorHAnsi" w:cstheme="minorHAnsi"/>
          <w:b/>
          <w:i/>
          <w:color w:val="auto"/>
          <w:sz w:val="24"/>
          <w:szCs w:val="24"/>
        </w:rPr>
        <w:t>Administrative expenses</w:t>
      </w:r>
      <w:r w:rsidRPr="00517026">
        <w:rPr>
          <w:rFonts w:asciiTheme="minorHAnsi" w:hAnsiTheme="minorHAnsi" w:cstheme="minorHAnsi"/>
          <w:color w:val="auto"/>
          <w:sz w:val="24"/>
          <w:szCs w:val="24"/>
        </w:rPr>
        <w:t xml:space="preserve"> include salaries of all employees other than sales personnel, operational costs incurred by buying offices and other administrative expenses</w:t>
      </w:r>
    </w:p>
    <w:p w14:paraId="7D70C9B4" w14:textId="77777777" w:rsidR="0066432B" w:rsidRPr="00517026" w:rsidRDefault="0066432B" w:rsidP="00CD3928">
      <w:pPr>
        <w:spacing w:line="360" w:lineRule="auto"/>
        <w:jc w:val="both"/>
        <w:rPr>
          <w:rFonts w:asciiTheme="minorHAnsi" w:hAnsiTheme="minorHAnsi" w:cstheme="minorHAnsi"/>
          <w:color w:val="auto"/>
          <w:sz w:val="24"/>
          <w:szCs w:val="24"/>
        </w:rPr>
      </w:pPr>
    </w:p>
    <w:p w14:paraId="6AF707E2" w14:textId="77777777" w:rsidR="0066432B" w:rsidRPr="00517026" w:rsidRDefault="0066432B"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color w:val="auto"/>
          <w:sz w:val="24"/>
          <w:szCs w:val="24"/>
        </w:rPr>
        <w:drawing>
          <wp:inline distT="0" distB="0" distL="0" distR="0" wp14:anchorId="5DA36587" wp14:editId="607AE25A">
            <wp:extent cx="5943600" cy="39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7790"/>
                    </a:xfrm>
                    <a:prstGeom prst="rect">
                      <a:avLst/>
                    </a:prstGeom>
                  </pic:spPr>
                </pic:pic>
              </a:graphicData>
            </a:graphic>
          </wp:inline>
        </w:drawing>
      </w:r>
    </w:p>
    <w:p w14:paraId="21F64EEE" w14:textId="77777777" w:rsidR="00B11183" w:rsidRPr="00517026" w:rsidRDefault="00B11183">
      <w:pPr>
        <w:rPr>
          <w:rFonts w:asciiTheme="minorHAnsi" w:hAnsiTheme="minorHAnsi" w:cstheme="minorHAnsi"/>
          <w:b/>
          <w:color w:val="auto"/>
          <w:sz w:val="32"/>
          <w:szCs w:val="32"/>
          <w:u w:val="single"/>
        </w:rPr>
      </w:pPr>
      <w:r w:rsidRPr="00517026">
        <w:rPr>
          <w:rFonts w:asciiTheme="minorHAnsi" w:hAnsiTheme="minorHAnsi" w:cstheme="minorHAnsi"/>
          <w:b/>
          <w:color w:val="auto"/>
          <w:sz w:val="32"/>
          <w:szCs w:val="32"/>
          <w:u w:val="single"/>
        </w:rPr>
        <w:br w:type="page"/>
      </w:r>
    </w:p>
    <w:p w14:paraId="013ED49C" w14:textId="77777777" w:rsidR="0066432B" w:rsidRPr="00517026" w:rsidRDefault="0066432B" w:rsidP="00F80EAB">
      <w:pPr>
        <w:spacing w:line="360" w:lineRule="auto"/>
        <w:jc w:val="center"/>
        <w:rPr>
          <w:rFonts w:asciiTheme="minorHAnsi" w:hAnsiTheme="minorHAnsi" w:cstheme="minorHAnsi"/>
          <w:b/>
          <w:color w:val="auto"/>
          <w:sz w:val="32"/>
          <w:szCs w:val="32"/>
          <w:u w:val="single"/>
        </w:rPr>
      </w:pPr>
      <w:r w:rsidRPr="00517026">
        <w:rPr>
          <w:rFonts w:asciiTheme="minorHAnsi" w:hAnsiTheme="minorHAnsi" w:cstheme="minorHAnsi"/>
          <w:b/>
          <w:color w:val="auto"/>
          <w:sz w:val="32"/>
          <w:szCs w:val="32"/>
          <w:u w:val="single"/>
        </w:rPr>
        <w:lastRenderedPageBreak/>
        <w:t>Financial Performance Evaluation</w:t>
      </w:r>
    </w:p>
    <w:p w14:paraId="626F1779" w14:textId="77777777" w:rsidR="0066432B" w:rsidRPr="00517026" w:rsidRDefault="0066432B" w:rsidP="0066432B">
      <w:pPr>
        <w:spacing w:line="360" w:lineRule="auto"/>
        <w:jc w:val="both"/>
        <w:rPr>
          <w:rFonts w:asciiTheme="minorHAnsi" w:hAnsiTheme="minorHAnsi" w:cstheme="minorHAnsi"/>
          <w:color w:val="auto"/>
          <w:sz w:val="28"/>
          <w:szCs w:val="28"/>
        </w:rPr>
      </w:pPr>
      <w:r w:rsidRPr="00517026">
        <w:rPr>
          <w:rFonts w:asciiTheme="minorHAnsi" w:hAnsiTheme="minorHAnsi" w:cstheme="minorHAnsi"/>
          <w:b/>
          <w:color w:val="auto"/>
          <w:sz w:val="28"/>
          <w:szCs w:val="28"/>
        </w:rPr>
        <w:t>Financial Ratios</w:t>
      </w:r>
    </w:p>
    <w:p w14:paraId="5AE45CA4" w14:textId="77777777" w:rsidR="0066432B" w:rsidRPr="00517026" w:rsidRDefault="0066432B" w:rsidP="0066432B">
      <w:p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To evaluate the financial performances of retailers, financial ratios can be applied. In retail companies, four groups of financial ratios are </w:t>
      </w:r>
      <w:proofErr w:type="spellStart"/>
      <w:r w:rsidRPr="00517026">
        <w:rPr>
          <w:rFonts w:asciiTheme="minorHAnsi" w:hAnsiTheme="minorHAnsi" w:cstheme="minorHAnsi"/>
          <w:color w:val="auto"/>
          <w:sz w:val="24"/>
          <w:szCs w:val="24"/>
        </w:rPr>
        <w:t>utilised</w:t>
      </w:r>
      <w:proofErr w:type="spellEnd"/>
      <w:r w:rsidRPr="00517026">
        <w:rPr>
          <w:rFonts w:asciiTheme="minorHAnsi" w:hAnsiTheme="minorHAnsi" w:cstheme="minorHAnsi"/>
          <w:color w:val="auto"/>
          <w:sz w:val="24"/>
          <w:szCs w:val="24"/>
        </w:rPr>
        <w:t xml:space="preserve">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w:t>
      </w:r>
    </w:p>
    <w:p w14:paraId="05C2E329" w14:textId="77777777" w:rsidR="0066432B" w:rsidRPr="00517026" w:rsidRDefault="0066432B" w:rsidP="0066432B">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Internal liquidity ratios,</w:t>
      </w:r>
    </w:p>
    <w:p w14:paraId="20915EBC" w14:textId="77777777" w:rsidR="0066432B" w:rsidRPr="00517026" w:rsidRDefault="0066432B" w:rsidP="0066432B">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return ratios,</w:t>
      </w:r>
    </w:p>
    <w:p w14:paraId="03EC06AD" w14:textId="77777777" w:rsidR="0066432B" w:rsidRPr="00517026" w:rsidRDefault="0066432B" w:rsidP="0066432B">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financial leverage ratios,</w:t>
      </w:r>
    </w:p>
    <w:p w14:paraId="10C8CD0E" w14:textId="77777777" w:rsidR="0066432B" w:rsidRPr="00517026" w:rsidRDefault="0066432B" w:rsidP="0066432B">
      <w:pPr>
        <w:pStyle w:val="ListParagraph"/>
        <w:numPr>
          <w:ilvl w:val="0"/>
          <w:numId w:val="2"/>
        </w:numPr>
        <w:spacing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earnings coverage ratios.</w:t>
      </w:r>
    </w:p>
    <w:p w14:paraId="026F3A07" w14:textId="77777777" w:rsidR="0066432B" w:rsidRPr="00517026" w:rsidRDefault="0066432B" w:rsidP="0066432B">
      <w:pPr>
        <w:spacing w:line="360" w:lineRule="auto"/>
        <w:ind w:firstLine="36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The limitations of ratio analysis have led to the development of a new class of measures called </w:t>
      </w:r>
      <w:r w:rsidRPr="00517026">
        <w:rPr>
          <w:rFonts w:asciiTheme="minorHAnsi" w:hAnsiTheme="minorHAnsi" w:cstheme="minorHAnsi"/>
          <w:b/>
          <w:i/>
          <w:color w:val="auto"/>
          <w:sz w:val="24"/>
          <w:szCs w:val="24"/>
        </w:rPr>
        <w:t>value metrics</w:t>
      </w:r>
      <w:r w:rsidRPr="00517026">
        <w:rPr>
          <w:rFonts w:asciiTheme="minorHAnsi" w:hAnsiTheme="minorHAnsi" w:cstheme="minorHAnsi"/>
          <w:color w:val="auto"/>
          <w:sz w:val="24"/>
          <w:szCs w:val="24"/>
        </w:rPr>
        <w:t>. “The idea behind a value metric is simple and powerful: value is only created if the company generates return on capital exceeding the cost of that capital”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p. 161).</w:t>
      </w:r>
    </w:p>
    <w:p w14:paraId="0011CAE8" w14:textId="77777777" w:rsidR="0066432B" w:rsidRPr="00517026" w:rsidRDefault="0066432B" w:rsidP="00B11183">
      <w:pPr>
        <w:spacing w:after="0" w:line="24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t>Liquidity Ratios</w:t>
      </w:r>
    </w:p>
    <w:p w14:paraId="45A1C7C7" w14:textId="77777777" w:rsidR="00B11183" w:rsidRPr="00517026" w:rsidRDefault="00B11183" w:rsidP="00B11183">
      <w:pPr>
        <w:spacing w:after="0" w:line="240" w:lineRule="auto"/>
        <w:jc w:val="both"/>
        <w:rPr>
          <w:rFonts w:asciiTheme="minorHAnsi" w:hAnsiTheme="minorHAnsi" w:cstheme="minorHAnsi"/>
          <w:b/>
          <w:color w:val="auto"/>
          <w:sz w:val="4"/>
          <w:szCs w:val="28"/>
        </w:rPr>
      </w:pPr>
    </w:p>
    <w:p w14:paraId="6A79EF2F" w14:textId="77777777" w:rsidR="0066432B" w:rsidRPr="00517026" w:rsidRDefault="0066432B"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color w:val="auto"/>
          <w:sz w:val="24"/>
          <w:szCs w:val="24"/>
        </w:rPr>
        <w:drawing>
          <wp:inline distT="0" distB="0" distL="0" distR="0" wp14:anchorId="654A8FA1" wp14:editId="2552D008">
            <wp:extent cx="5924768" cy="402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768" cy="4023360"/>
                    </a:xfrm>
                    <a:prstGeom prst="rect">
                      <a:avLst/>
                    </a:prstGeom>
                  </pic:spPr>
                </pic:pic>
              </a:graphicData>
            </a:graphic>
          </wp:inline>
        </w:drawing>
      </w:r>
    </w:p>
    <w:p w14:paraId="62D9BB6F" w14:textId="77777777" w:rsidR="00B11183" w:rsidRPr="00517026" w:rsidRDefault="00B11183" w:rsidP="00CD3928">
      <w:pPr>
        <w:spacing w:line="360" w:lineRule="auto"/>
        <w:jc w:val="both"/>
        <w:rPr>
          <w:rFonts w:asciiTheme="minorHAnsi" w:hAnsiTheme="minorHAnsi" w:cstheme="minorHAnsi"/>
          <w:b/>
          <w:color w:val="auto"/>
          <w:sz w:val="28"/>
          <w:szCs w:val="28"/>
        </w:rPr>
      </w:pPr>
    </w:p>
    <w:p w14:paraId="55F8779A" w14:textId="77777777" w:rsidR="0066432B" w:rsidRPr="00517026" w:rsidRDefault="00C96D1A" w:rsidP="00CD3928">
      <w:pPr>
        <w:spacing w:line="36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t>Return Ratios and Return Path</w:t>
      </w:r>
    </w:p>
    <w:p w14:paraId="38112676" w14:textId="77777777" w:rsidR="00C96D1A" w:rsidRPr="00517026" w:rsidRDefault="00C96D1A" w:rsidP="00C96D1A">
      <w:pPr>
        <w:spacing w:line="360" w:lineRule="auto"/>
        <w:ind w:firstLine="720"/>
        <w:jc w:val="both"/>
        <w:rPr>
          <w:rFonts w:asciiTheme="minorHAnsi" w:hAnsiTheme="minorHAnsi" w:cstheme="minorHAnsi"/>
          <w:b/>
          <w:color w:val="auto"/>
          <w:sz w:val="24"/>
          <w:szCs w:val="24"/>
        </w:rPr>
      </w:pPr>
      <w:r w:rsidRPr="00517026">
        <w:rPr>
          <w:rFonts w:asciiTheme="minorHAnsi" w:hAnsiTheme="minorHAnsi" w:cstheme="minorHAnsi"/>
          <w:color w:val="auto"/>
          <w:sz w:val="24"/>
          <w:szCs w:val="24"/>
        </w:rPr>
        <w:t xml:space="preserve">These metrics relate profits to capital in contrast to profitability ratios, which relate profits to sales. A “top-level” indicator measures the efficiency of a company in </w:t>
      </w:r>
      <w:proofErr w:type="spellStart"/>
      <w:r w:rsidRPr="00517026">
        <w:rPr>
          <w:rFonts w:asciiTheme="minorHAnsi" w:hAnsiTheme="minorHAnsi" w:cstheme="minorHAnsi"/>
          <w:color w:val="auto"/>
          <w:sz w:val="24"/>
          <w:szCs w:val="24"/>
        </w:rPr>
        <w:t>utilising</w:t>
      </w:r>
      <w:proofErr w:type="spellEnd"/>
      <w:r w:rsidRPr="00517026">
        <w:rPr>
          <w:rFonts w:asciiTheme="minorHAnsi" w:hAnsiTheme="minorHAnsi" w:cstheme="minorHAnsi"/>
          <w:color w:val="auto"/>
          <w:sz w:val="24"/>
          <w:szCs w:val="24"/>
        </w:rPr>
        <w:t xml:space="preserve"> assets for profit generation: return on assets (ROA). This indicator is usually calculated on an EBIT basis (earnings before (b) interest and taxes):</w:t>
      </w:r>
    </w:p>
    <w:p w14:paraId="04FD5CB4" w14:textId="77777777" w:rsidR="0066432B" w:rsidRPr="00517026" w:rsidRDefault="00C96D1A" w:rsidP="00C96D1A">
      <w:pPr>
        <w:spacing w:line="360" w:lineRule="auto"/>
        <w:jc w:val="center"/>
        <w:rPr>
          <w:rFonts w:asciiTheme="minorHAnsi" w:hAnsiTheme="minorHAnsi" w:cstheme="minorHAnsi"/>
          <w:color w:val="auto"/>
          <w:sz w:val="24"/>
          <w:szCs w:val="24"/>
        </w:rPr>
      </w:pPr>
      <w:r w:rsidRPr="00517026">
        <w:rPr>
          <w:rFonts w:asciiTheme="minorHAnsi" w:hAnsiTheme="minorHAnsi" w:cstheme="minorHAnsi"/>
          <w:noProof/>
        </w:rPr>
        <w:drawing>
          <wp:inline distT="0" distB="0" distL="0" distR="0" wp14:anchorId="521259B2" wp14:editId="2507F4E8">
            <wp:extent cx="25812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600075"/>
                    </a:xfrm>
                    <a:prstGeom prst="rect">
                      <a:avLst/>
                    </a:prstGeom>
                  </pic:spPr>
                </pic:pic>
              </a:graphicData>
            </a:graphic>
          </wp:inline>
        </w:drawing>
      </w:r>
    </w:p>
    <w:p w14:paraId="06DA2515" w14:textId="77777777" w:rsidR="0066432B" w:rsidRPr="00517026" w:rsidRDefault="00C96D1A" w:rsidP="00F80EAB">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On an after-tax and after-interest basis (a), a second metric return on assets can be</w:t>
      </w:r>
      <w:r w:rsidR="00F80EAB" w:rsidRPr="00517026">
        <w:rPr>
          <w:rFonts w:asciiTheme="minorHAnsi" w:hAnsiTheme="minorHAnsi" w:cstheme="minorHAnsi"/>
          <w:color w:val="auto"/>
          <w:sz w:val="24"/>
          <w:szCs w:val="24"/>
        </w:rPr>
        <w:t xml:space="preserve"> </w:t>
      </w:r>
      <w:r w:rsidRPr="00517026">
        <w:rPr>
          <w:rFonts w:asciiTheme="minorHAnsi" w:hAnsiTheme="minorHAnsi" w:cstheme="minorHAnsi"/>
          <w:color w:val="auto"/>
          <w:sz w:val="24"/>
          <w:szCs w:val="24"/>
        </w:rPr>
        <w:t>computed:</w:t>
      </w:r>
    </w:p>
    <w:p w14:paraId="79CD593D" w14:textId="77777777" w:rsidR="00F80EAB" w:rsidRPr="00517026" w:rsidRDefault="00F80EAB" w:rsidP="00F80EAB">
      <w:pPr>
        <w:spacing w:line="360" w:lineRule="auto"/>
        <w:ind w:firstLine="720"/>
        <w:jc w:val="center"/>
        <w:rPr>
          <w:rFonts w:asciiTheme="minorHAnsi" w:hAnsiTheme="minorHAnsi" w:cstheme="minorHAnsi"/>
          <w:color w:val="auto"/>
          <w:sz w:val="24"/>
          <w:szCs w:val="24"/>
        </w:rPr>
      </w:pPr>
      <w:r w:rsidRPr="00517026">
        <w:rPr>
          <w:rFonts w:asciiTheme="minorHAnsi" w:hAnsiTheme="minorHAnsi" w:cstheme="minorHAnsi"/>
          <w:noProof/>
        </w:rPr>
        <w:drawing>
          <wp:inline distT="0" distB="0" distL="0" distR="0" wp14:anchorId="3D4B29B2" wp14:editId="078B5B19">
            <wp:extent cx="2476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514350"/>
                    </a:xfrm>
                    <a:prstGeom prst="rect">
                      <a:avLst/>
                    </a:prstGeom>
                  </pic:spPr>
                </pic:pic>
              </a:graphicData>
            </a:graphic>
          </wp:inline>
        </w:drawing>
      </w:r>
    </w:p>
    <w:p w14:paraId="55E5655B" w14:textId="77777777" w:rsidR="00F80EAB" w:rsidRPr="00517026" w:rsidRDefault="00F80EAB" w:rsidP="00F80EAB">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Other return metrics are return on invested capital (ROIC) and return on equity (ROE) (see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2004b). Table 20.4 shows returns on assets (ROA) of selected retail companies operating worldwide. </w:t>
      </w:r>
    </w:p>
    <w:p w14:paraId="5C6E38FC" w14:textId="77777777" w:rsidR="00F80EAB" w:rsidRPr="00517026" w:rsidRDefault="00F80EAB" w:rsidP="00F80EAB">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The net profit margin model (Fig. 20.1) can be combined with the asset turnover model, which yields asset turnover by dividing net sales by total assets. As a result, the ROA path can be derived (see Fig. 20.2).</w:t>
      </w:r>
    </w:p>
    <w:p w14:paraId="0B8D0F17" w14:textId="77777777" w:rsidR="00F80EAB" w:rsidRPr="00517026" w:rsidRDefault="00F80EAB" w:rsidP="00F80EAB">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rPr>
        <w:lastRenderedPageBreak/>
        <w:drawing>
          <wp:inline distT="0" distB="0" distL="0" distR="0" wp14:anchorId="083281DC" wp14:editId="3C405A70">
            <wp:extent cx="5943122" cy="3558209"/>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4054" cy="3570741"/>
                    </a:xfrm>
                    <a:prstGeom prst="rect">
                      <a:avLst/>
                    </a:prstGeom>
                  </pic:spPr>
                </pic:pic>
              </a:graphicData>
            </a:graphic>
          </wp:inline>
        </w:drawing>
      </w:r>
    </w:p>
    <w:p w14:paraId="3D889C47" w14:textId="77777777" w:rsidR="0066432B" w:rsidRPr="00517026" w:rsidRDefault="00F80EAB" w:rsidP="00F80EAB">
      <w:pPr>
        <w:spacing w:line="360" w:lineRule="auto"/>
        <w:jc w:val="center"/>
        <w:rPr>
          <w:rFonts w:asciiTheme="minorHAnsi" w:hAnsiTheme="minorHAnsi" w:cstheme="minorHAnsi"/>
          <w:b/>
          <w:color w:val="auto"/>
          <w:sz w:val="32"/>
          <w:szCs w:val="32"/>
          <w:u w:val="single"/>
        </w:rPr>
      </w:pPr>
      <w:r w:rsidRPr="00517026">
        <w:rPr>
          <w:rFonts w:asciiTheme="minorHAnsi" w:hAnsiTheme="minorHAnsi" w:cstheme="minorHAnsi"/>
          <w:b/>
          <w:color w:val="auto"/>
          <w:sz w:val="32"/>
          <w:szCs w:val="32"/>
          <w:u w:val="single"/>
        </w:rPr>
        <w:t>Value Metrics</w:t>
      </w:r>
    </w:p>
    <w:p w14:paraId="3CE02F1A" w14:textId="77777777" w:rsidR="00F80EAB" w:rsidRPr="00517026" w:rsidRDefault="00F80EAB" w:rsidP="00CD3928">
      <w:pPr>
        <w:spacing w:line="360" w:lineRule="auto"/>
        <w:jc w:val="both"/>
        <w:rPr>
          <w:rFonts w:asciiTheme="minorHAnsi" w:hAnsiTheme="minorHAnsi" w:cstheme="minorHAnsi"/>
          <w:b/>
          <w:color w:val="auto"/>
          <w:sz w:val="28"/>
          <w:szCs w:val="28"/>
        </w:rPr>
      </w:pPr>
      <w:r w:rsidRPr="00517026">
        <w:rPr>
          <w:rFonts w:asciiTheme="minorHAnsi" w:hAnsiTheme="minorHAnsi" w:cstheme="minorHAnsi"/>
          <w:b/>
          <w:color w:val="auto"/>
          <w:sz w:val="28"/>
          <w:szCs w:val="28"/>
        </w:rPr>
        <w:t>Economic Value Added</w:t>
      </w:r>
    </w:p>
    <w:p w14:paraId="7F7BD414" w14:textId="77777777" w:rsidR="00F80EAB" w:rsidRPr="00517026" w:rsidRDefault="00F80EAB" w:rsidP="005F35CC">
      <w:pPr>
        <w:spacing w:after="0" w:line="360" w:lineRule="auto"/>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These metrics measure the financial performances of firms by their ability to generate or add economic value. Measures of economic value include market value added (MVA), which is a purely stock market-based measure, and economic value added (EVA). Economic value added is computed according to formula (15) (see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p. 162):</w:t>
      </w:r>
    </w:p>
    <w:p w14:paraId="4C840916" w14:textId="77777777" w:rsidR="00F80EAB" w:rsidRPr="00517026" w:rsidRDefault="00F80EAB" w:rsidP="00F80EAB">
      <w:pPr>
        <w:spacing w:line="360" w:lineRule="auto"/>
        <w:jc w:val="center"/>
        <w:rPr>
          <w:rFonts w:asciiTheme="minorHAnsi" w:hAnsiTheme="minorHAnsi" w:cstheme="minorHAnsi"/>
          <w:b/>
          <w:color w:val="auto"/>
          <w:sz w:val="24"/>
          <w:szCs w:val="24"/>
        </w:rPr>
      </w:pPr>
      <w:r w:rsidRPr="00517026">
        <w:rPr>
          <w:rFonts w:asciiTheme="minorHAnsi" w:hAnsiTheme="minorHAnsi" w:cstheme="minorHAnsi"/>
          <w:b/>
          <w:color w:val="auto"/>
          <w:sz w:val="24"/>
          <w:szCs w:val="24"/>
        </w:rPr>
        <w:t xml:space="preserve">EVA = net operating profit .after taxes/−WACC </w:t>
      </w:r>
      <w:r w:rsidRPr="00517026">
        <w:rPr>
          <w:rFonts w:asciiTheme="minorHAnsi" w:hAnsiTheme="minorHAnsi" w:cstheme="minorHAnsi"/>
          <w:b/>
          <w:color w:val="auto"/>
          <w:sz w:val="24"/>
          <w:szCs w:val="24"/>
        </w:rPr>
        <w:softHyphen/>
        <w:t xml:space="preserve"> capital</w:t>
      </w:r>
    </w:p>
    <w:p w14:paraId="005D7AB8" w14:textId="77777777" w:rsidR="0066432B" w:rsidRPr="00517026" w:rsidRDefault="00F80EAB" w:rsidP="00B11183">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The weighted average cost of capital (WACC) is calculated as a weighted average of the costs of debt and the costs of equity capital. The costs of debt are the interest expenses required to serve the debt. “For equity, the cost is the rate of return on common stock expected by the shareholders”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p. 161). These costs are more difficult to calculate because they depend “on the uncertain factors such as overall stock market risk, return expectations and the risk-free rate of return available to investors” (</w:t>
      </w:r>
      <w:proofErr w:type="spellStart"/>
      <w:r w:rsidRPr="00517026">
        <w:rPr>
          <w:rFonts w:asciiTheme="minorHAnsi" w:hAnsiTheme="minorHAnsi" w:cstheme="minorHAnsi"/>
          <w:color w:val="auto"/>
          <w:sz w:val="24"/>
          <w:szCs w:val="24"/>
        </w:rPr>
        <w:t>Dragun</w:t>
      </w:r>
      <w:proofErr w:type="spellEnd"/>
      <w:r w:rsidRPr="00517026">
        <w:rPr>
          <w:rFonts w:asciiTheme="minorHAnsi" w:hAnsiTheme="minorHAnsi" w:cstheme="minorHAnsi"/>
          <w:color w:val="auto"/>
          <w:sz w:val="24"/>
          <w:szCs w:val="24"/>
        </w:rPr>
        <w:t xml:space="preserve"> 2004a, p. 161). </w:t>
      </w:r>
    </w:p>
    <w:p w14:paraId="1D39A3A3" w14:textId="77777777" w:rsidR="0066432B" w:rsidRPr="00517026" w:rsidRDefault="006A3E4F"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rPr>
        <w:lastRenderedPageBreak/>
        <w:drawing>
          <wp:inline distT="0" distB="0" distL="0" distR="0" wp14:anchorId="3CED80B7" wp14:editId="7E6FBC33">
            <wp:extent cx="5943600" cy="438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844" cy="4387760"/>
                    </a:xfrm>
                    <a:prstGeom prst="rect">
                      <a:avLst/>
                    </a:prstGeom>
                  </pic:spPr>
                </pic:pic>
              </a:graphicData>
            </a:graphic>
          </wp:inline>
        </w:drawing>
      </w:r>
    </w:p>
    <w:p w14:paraId="47475FEF" w14:textId="77777777" w:rsidR="0066432B" w:rsidRPr="00517026" w:rsidRDefault="00B11183" w:rsidP="00B11183">
      <w:pPr>
        <w:spacing w:line="360" w:lineRule="auto"/>
        <w:jc w:val="center"/>
        <w:rPr>
          <w:rFonts w:asciiTheme="minorHAnsi" w:hAnsiTheme="minorHAnsi" w:cstheme="minorHAnsi"/>
          <w:b/>
          <w:color w:val="auto"/>
          <w:sz w:val="32"/>
          <w:szCs w:val="32"/>
          <w:u w:val="single"/>
        </w:rPr>
      </w:pPr>
      <w:r w:rsidRPr="00517026">
        <w:rPr>
          <w:rFonts w:asciiTheme="minorHAnsi" w:hAnsiTheme="minorHAnsi" w:cstheme="minorHAnsi"/>
          <w:noProof/>
        </w:rPr>
        <w:drawing>
          <wp:inline distT="0" distB="0" distL="0" distR="0" wp14:anchorId="1F93FAEC" wp14:editId="718DD795">
            <wp:extent cx="5941734" cy="3498574"/>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3111" cy="3522938"/>
                    </a:xfrm>
                    <a:prstGeom prst="rect">
                      <a:avLst/>
                    </a:prstGeom>
                  </pic:spPr>
                </pic:pic>
              </a:graphicData>
            </a:graphic>
          </wp:inline>
        </w:drawing>
      </w:r>
      <w:r w:rsidRPr="00517026">
        <w:rPr>
          <w:rFonts w:asciiTheme="minorHAnsi" w:hAnsiTheme="minorHAnsi" w:cstheme="minorHAnsi"/>
          <w:b/>
          <w:color w:val="auto"/>
          <w:sz w:val="32"/>
          <w:szCs w:val="32"/>
          <w:u w:val="single"/>
        </w:rPr>
        <w:br w:type="page"/>
      </w:r>
      <w:r w:rsidR="006A3E4F" w:rsidRPr="00517026">
        <w:rPr>
          <w:rFonts w:asciiTheme="minorHAnsi" w:hAnsiTheme="minorHAnsi" w:cstheme="minorHAnsi"/>
          <w:b/>
          <w:color w:val="auto"/>
          <w:sz w:val="32"/>
          <w:szCs w:val="32"/>
          <w:u w:val="single"/>
        </w:rPr>
        <w:lastRenderedPageBreak/>
        <w:t>Retail Balanced Scorecard</w:t>
      </w:r>
    </w:p>
    <w:p w14:paraId="18383323" w14:textId="77777777" w:rsidR="006A3E4F" w:rsidRPr="00517026" w:rsidRDefault="006A3E4F" w:rsidP="00B11183">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Apart from the concepts of monitoring operational and financial performance discussed here, new approaches have been developed in which the measurement of consumer satisfaction and other aspects comes to the fore. One of the most important concepts in this context is the balanced scorecard (BSC), proposed by Kaplan and Norton (1992; see also </w:t>
      </w:r>
      <w:proofErr w:type="spellStart"/>
      <w:r w:rsidRPr="00517026">
        <w:rPr>
          <w:rFonts w:asciiTheme="minorHAnsi" w:hAnsiTheme="minorHAnsi" w:cstheme="minorHAnsi"/>
          <w:color w:val="auto"/>
          <w:sz w:val="24"/>
          <w:szCs w:val="24"/>
        </w:rPr>
        <w:t>Morschett</w:t>
      </w:r>
      <w:proofErr w:type="spellEnd"/>
      <w:r w:rsidRPr="00517026">
        <w:rPr>
          <w:rFonts w:asciiTheme="minorHAnsi" w:hAnsiTheme="minorHAnsi" w:cstheme="minorHAnsi"/>
          <w:color w:val="auto"/>
          <w:sz w:val="24"/>
          <w:szCs w:val="24"/>
        </w:rPr>
        <w:t xml:space="preserve"> et al. 2015, pp. 543–545).</w:t>
      </w:r>
    </w:p>
    <w:p w14:paraId="3F0E7AFD" w14:textId="77777777" w:rsidR="006A3E4F" w:rsidRPr="00517026" w:rsidRDefault="006A3E4F" w:rsidP="00B11183">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This is a specific, four-dimensional performance measurement system that comprises financial objectives as well as non-financial measures (see Fig. 20.4). “The balanced scorecard translates an organization’s mission and strategy into a comprehensive set of performance measures that provides the framework for a strategic measurement and management system. […] The BSC enables companies to track financial results while simultaneously monitoring progress in building the capabilities and acquiring the intangible assets they need for future growth” (Kaplan and Norton 1996, p. 2).</w:t>
      </w:r>
    </w:p>
    <w:p w14:paraId="29911B5F" w14:textId="77777777" w:rsidR="0066432B" w:rsidRPr="00517026" w:rsidRDefault="006A3E4F" w:rsidP="006A3E4F">
      <w:pPr>
        <w:spacing w:line="360" w:lineRule="auto"/>
        <w:ind w:firstLine="720"/>
        <w:jc w:val="both"/>
        <w:rPr>
          <w:rFonts w:asciiTheme="minorHAnsi" w:hAnsiTheme="minorHAnsi" w:cstheme="minorHAnsi"/>
          <w:color w:val="auto"/>
          <w:sz w:val="24"/>
          <w:szCs w:val="24"/>
        </w:rPr>
      </w:pPr>
      <w:r w:rsidRPr="00517026">
        <w:rPr>
          <w:rFonts w:asciiTheme="minorHAnsi" w:hAnsiTheme="minorHAnsi" w:cstheme="minorHAnsi"/>
          <w:color w:val="auto"/>
          <w:sz w:val="24"/>
          <w:szCs w:val="24"/>
        </w:rPr>
        <w:t xml:space="preserve">This concept can be adapted to retail companies. Fig. 20.5 illustrates the application of the balanced scorecard by the German department store chain </w:t>
      </w:r>
      <w:proofErr w:type="spellStart"/>
      <w:r w:rsidRPr="00517026">
        <w:rPr>
          <w:rFonts w:asciiTheme="minorHAnsi" w:hAnsiTheme="minorHAnsi" w:cstheme="minorHAnsi"/>
          <w:i/>
          <w:color w:val="auto"/>
          <w:sz w:val="24"/>
          <w:szCs w:val="24"/>
        </w:rPr>
        <w:t>Breuninger</w:t>
      </w:r>
      <w:proofErr w:type="spellEnd"/>
      <w:r w:rsidRPr="00517026">
        <w:rPr>
          <w:rFonts w:asciiTheme="minorHAnsi" w:hAnsiTheme="minorHAnsi" w:cstheme="minorHAnsi"/>
          <w:color w:val="auto"/>
          <w:sz w:val="24"/>
          <w:szCs w:val="24"/>
        </w:rPr>
        <w:t>. They distinguish for performance dimensions: business finance, customer/market, goods/suppliers and internal processes &amp; resources.</w:t>
      </w:r>
    </w:p>
    <w:p w14:paraId="3ED3CEB9" w14:textId="77777777" w:rsidR="00B11183" w:rsidRPr="00517026" w:rsidRDefault="00B11183" w:rsidP="00B11183">
      <w:pPr>
        <w:spacing w:line="360" w:lineRule="auto"/>
        <w:jc w:val="both"/>
        <w:rPr>
          <w:rFonts w:asciiTheme="minorHAnsi" w:hAnsiTheme="minorHAnsi" w:cstheme="minorHAnsi"/>
          <w:color w:val="auto"/>
          <w:sz w:val="24"/>
          <w:szCs w:val="24"/>
        </w:rPr>
      </w:pPr>
    </w:p>
    <w:p w14:paraId="5EAE666C" w14:textId="77777777" w:rsidR="0066432B" w:rsidRPr="00517026" w:rsidRDefault="0065135C"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rPr>
        <w:lastRenderedPageBreak/>
        <w:drawing>
          <wp:inline distT="0" distB="0" distL="0" distR="0" wp14:anchorId="31A6BFB3" wp14:editId="65150CB8">
            <wp:extent cx="5943600" cy="354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9650"/>
                    </a:xfrm>
                    <a:prstGeom prst="rect">
                      <a:avLst/>
                    </a:prstGeom>
                  </pic:spPr>
                </pic:pic>
              </a:graphicData>
            </a:graphic>
          </wp:inline>
        </w:drawing>
      </w:r>
    </w:p>
    <w:p w14:paraId="639C278E" w14:textId="77777777" w:rsidR="0066432B" w:rsidRPr="00517026" w:rsidRDefault="0065135C" w:rsidP="00CD3928">
      <w:pPr>
        <w:spacing w:line="360" w:lineRule="auto"/>
        <w:jc w:val="both"/>
        <w:rPr>
          <w:rFonts w:asciiTheme="minorHAnsi" w:hAnsiTheme="minorHAnsi" w:cstheme="minorHAnsi"/>
          <w:color w:val="auto"/>
          <w:sz w:val="24"/>
          <w:szCs w:val="24"/>
        </w:rPr>
      </w:pPr>
      <w:r w:rsidRPr="00517026">
        <w:rPr>
          <w:rFonts w:asciiTheme="minorHAnsi" w:hAnsiTheme="minorHAnsi" w:cstheme="minorHAnsi"/>
          <w:noProof/>
        </w:rPr>
        <w:drawing>
          <wp:inline distT="0" distB="0" distL="0" distR="0" wp14:anchorId="7395CEC0" wp14:editId="552988C5">
            <wp:extent cx="5943600" cy="4084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955" cy="4090725"/>
                    </a:xfrm>
                    <a:prstGeom prst="rect">
                      <a:avLst/>
                    </a:prstGeom>
                  </pic:spPr>
                </pic:pic>
              </a:graphicData>
            </a:graphic>
          </wp:inline>
        </w:drawing>
      </w:r>
    </w:p>
    <w:sectPr w:rsidR="0066432B" w:rsidRPr="00517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5E3DA" w14:textId="77777777" w:rsidR="000C5565" w:rsidRDefault="000C5565" w:rsidP="000D4DDB">
      <w:pPr>
        <w:spacing w:after="0" w:line="240" w:lineRule="auto"/>
      </w:pPr>
      <w:r>
        <w:separator/>
      </w:r>
    </w:p>
  </w:endnote>
  <w:endnote w:type="continuationSeparator" w:id="0">
    <w:p w14:paraId="42595373" w14:textId="77777777" w:rsidR="000C5565" w:rsidRDefault="000C5565" w:rsidP="000D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MT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F4315" w14:textId="77777777" w:rsidR="000C5565" w:rsidRDefault="000C5565" w:rsidP="000D4DDB">
      <w:pPr>
        <w:spacing w:after="0" w:line="240" w:lineRule="auto"/>
      </w:pPr>
      <w:r>
        <w:separator/>
      </w:r>
    </w:p>
  </w:footnote>
  <w:footnote w:type="continuationSeparator" w:id="0">
    <w:p w14:paraId="632B2638" w14:textId="77777777" w:rsidR="000C5565" w:rsidRDefault="000C5565" w:rsidP="000D4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E7E"/>
    <w:multiLevelType w:val="hybridMultilevel"/>
    <w:tmpl w:val="62D4C516"/>
    <w:lvl w:ilvl="0" w:tplc="12465A06">
      <w:numFmt w:val="bullet"/>
      <w:lvlText w:val="•"/>
      <w:lvlJc w:val="left"/>
      <w:pPr>
        <w:ind w:left="720" w:hanging="360"/>
      </w:pPr>
      <w:rPr>
        <w:rFonts w:ascii="Trebuchet MS" w:eastAsia="TimesNewRomanPSMT" w:hAnsi="Trebuchet MS" w:cs="TimesNewRomanPSMT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1D5492"/>
    <w:multiLevelType w:val="hybridMultilevel"/>
    <w:tmpl w:val="4A64694A"/>
    <w:lvl w:ilvl="0" w:tplc="12465A06">
      <w:numFmt w:val="bullet"/>
      <w:lvlText w:val="•"/>
      <w:lvlJc w:val="left"/>
      <w:pPr>
        <w:ind w:left="1080" w:hanging="360"/>
      </w:pPr>
      <w:rPr>
        <w:rFonts w:ascii="Trebuchet MS" w:eastAsia="TimesNewRomanPSMT" w:hAnsi="Trebuchet MS" w:cs="TimesNewRomanPSMT2"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FBB45D9"/>
    <w:multiLevelType w:val="hybridMultilevel"/>
    <w:tmpl w:val="C5725AA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0E0356"/>
    <w:multiLevelType w:val="hybridMultilevel"/>
    <w:tmpl w:val="7046B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821CB9"/>
    <w:multiLevelType w:val="hybridMultilevel"/>
    <w:tmpl w:val="483C81F2"/>
    <w:lvl w:ilvl="0" w:tplc="12465A06">
      <w:numFmt w:val="bullet"/>
      <w:lvlText w:val="•"/>
      <w:lvlJc w:val="left"/>
      <w:pPr>
        <w:ind w:left="720" w:hanging="360"/>
      </w:pPr>
      <w:rPr>
        <w:rFonts w:ascii="Trebuchet MS" w:eastAsia="TimesNewRomanPSMT" w:hAnsi="Trebuchet MS" w:cs="TimesNewRomanPSMT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5C1353"/>
    <w:multiLevelType w:val="hybridMultilevel"/>
    <w:tmpl w:val="1D2203A2"/>
    <w:lvl w:ilvl="0" w:tplc="12465A06">
      <w:numFmt w:val="bullet"/>
      <w:lvlText w:val="•"/>
      <w:lvlJc w:val="left"/>
      <w:pPr>
        <w:ind w:left="720" w:hanging="360"/>
      </w:pPr>
      <w:rPr>
        <w:rFonts w:ascii="Trebuchet MS" w:eastAsia="TimesNewRomanPSMT" w:hAnsi="Trebuchet MS" w:cs="TimesNewRomanPSMT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146F4C"/>
    <w:multiLevelType w:val="hybridMultilevel"/>
    <w:tmpl w:val="2FDA30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DB37DF1"/>
    <w:multiLevelType w:val="hybridMultilevel"/>
    <w:tmpl w:val="53E27658"/>
    <w:lvl w:ilvl="0" w:tplc="12465A06">
      <w:numFmt w:val="bullet"/>
      <w:lvlText w:val="•"/>
      <w:lvlJc w:val="left"/>
      <w:pPr>
        <w:ind w:left="720" w:hanging="360"/>
      </w:pPr>
      <w:rPr>
        <w:rFonts w:ascii="Trebuchet MS" w:eastAsia="TimesNewRomanPSMT" w:hAnsi="Trebuchet MS" w:cs="TimesNewRomanPSMT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tjCwMLIwNTM2NDBT0lEKTi0uzszPAykwqgUAWb96ESwAAAA="/>
  </w:docVars>
  <w:rsids>
    <w:rsidRoot w:val="001D5C38"/>
    <w:rsid w:val="000812AA"/>
    <w:rsid w:val="000C5565"/>
    <w:rsid w:val="000D4DDB"/>
    <w:rsid w:val="001D5C38"/>
    <w:rsid w:val="002F0477"/>
    <w:rsid w:val="003B4725"/>
    <w:rsid w:val="003E2739"/>
    <w:rsid w:val="003E642B"/>
    <w:rsid w:val="00517026"/>
    <w:rsid w:val="005F35CC"/>
    <w:rsid w:val="0065135C"/>
    <w:rsid w:val="0066432B"/>
    <w:rsid w:val="006A3E4F"/>
    <w:rsid w:val="00730B2E"/>
    <w:rsid w:val="00A97639"/>
    <w:rsid w:val="00B11183"/>
    <w:rsid w:val="00BF2EBD"/>
    <w:rsid w:val="00C96D1A"/>
    <w:rsid w:val="00CD3928"/>
    <w:rsid w:val="00CD7CEF"/>
    <w:rsid w:val="00EF3E4E"/>
    <w:rsid w:val="00F8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9B63"/>
  <w15:chartTrackingRefBased/>
  <w15:docId w15:val="{09D7041E-D23F-4F05-A508-CEA96693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ajorBidi"/>
        <w:color w:val="243F60" w:themeColor="accent1" w:themeShade="7F"/>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E4E"/>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EF3E4E"/>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EF3E4E"/>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EF3E4E"/>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F3E4E"/>
    <w:pPr>
      <w:keepNext/>
      <w:keepLines/>
      <w:spacing w:before="200" w:after="0"/>
      <w:outlineLvl w:val="4"/>
    </w:pPr>
    <w:rPr>
      <w:rFonts w:asciiTheme="majorHAnsi" w:eastAsiaTheme="majorEastAsia" w:hAnsiTheme="majorHAnsi"/>
    </w:rPr>
  </w:style>
  <w:style w:type="paragraph" w:styleId="Heading6">
    <w:name w:val="heading 6"/>
    <w:basedOn w:val="Normal"/>
    <w:next w:val="Normal"/>
    <w:link w:val="Heading6Char"/>
    <w:uiPriority w:val="9"/>
    <w:unhideWhenUsed/>
    <w:qFormat/>
    <w:rsid w:val="00EF3E4E"/>
    <w:pPr>
      <w:keepNext/>
      <w:keepLines/>
      <w:spacing w:before="200" w:after="0"/>
      <w:outlineLvl w:val="5"/>
    </w:pPr>
    <w:rPr>
      <w:rFonts w:asciiTheme="majorHAnsi" w:eastAsiaTheme="majorEastAsia" w:hAnsiTheme="maj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E4E"/>
    <w:pPr>
      <w:spacing w:after="0" w:line="240" w:lineRule="auto"/>
    </w:pPr>
  </w:style>
  <w:style w:type="character" w:customStyle="1" w:styleId="Heading1Char">
    <w:name w:val="Heading 1 Char"/>
    <w:basedOn w:val="DefaultParagraphFont"/>
    <w:link w:val="Heading1"/>
    <w:uiPriority w:val="9"/>
    <w:rsid w:val="00EF3E4E"/>
    <w:rPr>
      <w:rFonts w:asciiTheme="majorHAnsi" w:eastAsiaTheme="majorEastAsia" w:hAnsiTheme="majorHAnsi"/>
      <w:b/>
      <w:bCs/>
      <w:color w:val="365F91" w:themeColor="accent1" w:themeShade="BF"/>
      <w:sz w:val="28"/>
      <w:szCs w:val="28"/>
    </w:rPr>
  </w:style>
  <w:style w:type="character" w:customStyle="1" w:styleId="Heading2Char">
    <w:name w:val="Heading 2 Char"/>
    <w:basedOn w:val="DefaultParagraphFont"/>
    <w:link w:val="Heading2"/>
    <w:uiPriority w:val="9"/>
    <w:rsid w:val="00EF3E4E"/>
    <w:rPr>
      <w:rFonts w:asciiTheme="majorHAns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sid w:val="00EF3E4E"/>
    <w:rPr>
      <w:rFonts w:asciiTheme="majorHAnsi" w:eastAsiaTheme="majorEastAsia" w:hAnsiTheme="majorHAnsi"/>
      <w:b/>
      <w:bCs/>
      <w:color w:val="4F81BD" w:themeColor="accent1"/>
    </w:rPr>
  </w:style>
  <w:style w:type="character" w:customStyle="1" w:styleId="Heading4Char">
    <w:name w:val="Heading 4 Char"/>
    <w:basedOn w:val="DefaultParagraphFont"/>
    <w:link w:val="Heading4"/>
    <w:uiPriority w:val="9"/>
    <w:rsid w:val="00EF3E4E"/>
    <w:rPr>
      <w:rFonts w:asciiTheme="majorHAnsi" w:eastAsiaTheme="majorEastAsia" w:hAnsiTheme="majorHAnsi"/>
      <w:b/>
      <w:bCs/>
      <w:i/>
      <w:iCs/>
      <w:color w:val="4F81BD" w:themeColor="accent1"/>
    </w:rPr>
  </w:style>
  <w:style w:type="character" w:customStyle="1" w:styleId="Heading5Char">
    <w:name w:val="Heading 5 Char"/>
    <w:basedOn w:val="DefaultParagraphFont"/>
    <w:link w:val="Heading5"/>
    <w:uiPriority w:val="9"/>
    <w:rsid w:val="00EF3E4E"/>
    <w:rPr>
      <w:rFonts w:asciiTheme="majorHAnsi" w:eastAsiaTheme="majorEastAsia" w:hAnsiTheme="majorHAnsi"/>
    </w:rPr>
  </w:style>
  <w:style w:type="character" w:styleId="IntenseReference">
    <w:name w:val="Intense Reference"/>
    <w:basedOn w:val="DefaultParagraphFont"/>
    <w:uiPriority w:val="32"/>
    <w:qFormat/>
    <w:rsid w:val="00EF3E4E"/>
    <w:rPr>
      <w:b/>
      <w:bCs/>
      <w:smallCaps/>
      <w:color w:val="C0504D" w:themeColor="accent2"/>
      <w:spacing w:val="5"/>
      <w:u w:val="single"/>
    </w:rPr>
  </w:style>
  <w:style w:type="character" w:styleId="Emphasis">
    <w:name w:val="Emphasis"/>
    <w:basedOn w:val="DefaultParagraphFont"/>
    <w:uiPriority w:val="20"/>
    <w:qFormat/>
    <w:rsid w:val="00EF3E4E"/>
    <w:rPr>
      <w:i/>
      <w:iCs/>
    </w:rPr>
  </w:style>
  <w:style w:type="paragraph" w:styleId="Subtitle">
    <w:name w:val="Subtitle"/>
    <w:basedOn w:val="Normal"/>
    <w:next w:val="Normal"/>
    <w:link w:val="SubtitleChar"/>
    <w:uiPriority w:val="11"/>
    <w:qFormat/>
    <w:rsid w:val="00EF3E4E"/>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sid w:val="00EF3E4E"/>
    <w:rPr>
      <w:rFonts w:asciiTheme="majorHAnsi" w:eastAsiaTheme="majorEastAsia" w:hAnsiTheme="majorHAnsi"/>
      <w:i/>
      <w:iCs/>
      <w:color w:val="4F81BD" w:themeColor="accent1"/>
      <w:spacing w:val="15"/>
      <w:sz w:val="24"/>
      <w:szCs w:val="24"/>
    </w:rPr>
  </w:style>
  <w:style w:type="paragraph" w:styleId="ListParagraph">
    <w:name w:val="List Paragraph"/>
    <w:basedOn w:val="Normal"/>
    <w:uiPriority w:val="34"/>
    <w:qFormat/>
    <w:rsid w:val="00EF3E4E"/>
    <w:pPr>
      <w:ind w:left="720"/>
      <w:contextualSpacing/>
    </w:pPr>
  </w:style>
  <w:style w:type="character" w:styleId="BookTitle">
    <w:name w:val="Book Title"/>
    <w:basedOn w:val="DefaultParagraphFont"/>
    <w:uiPriority w:val="33"/>
    <w:qFormat/>
    <w:rsid w:val="00EF3E4E"/>
    <w:rPr>
      <w:b/>
      <w:bCs/>
      <w:smallCaps/>
      <w:spacing w:val="5"/>
    </w:rPr>
  </w:style>
  <w:style w:type="character" w:styleId="SubtleReference">
    <w:name w:val="Subtle Reference"/>
    <w:basedOn w:val="DefaultParagraphFont"/>
    <w:uiPriority w:val="31"/>
    <w:qFormat/>
    <w:rsid w:val="00EF3E4E"/>
    <w:rPr>
      <w:smallCaps/>
      <w:color w:val="C0504D" w:themeColor="accent2"/>
      <w:u w:val="single"/>
    </w:rPr>
  </w:style>
  <w:style w:type="paragraph" w:styleId="IntenseQuote">
    <w:name w:val="Intense Quote"/>
    <w:basedOn w:val="Normal"/>
    <w:next w:val="Normal"/>
    <w:link w:val="IntenseQuoteChar"/>
    <w:uiPriority w:val="30"/>
    <w:qFormat/>
    <w:rsid w:val="00EF3E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3E4E"/>
    <w:rPr>
      <w:b/>
      <w:bCs/>
      <w:i/>
      <w:iCs/>
      <w:color w:val="4F81BD" w:themeColor="accent1"/>
    </w:rPr>
  </w:style>
  <w:style w:type="paragraph" w:styleId="Quote">
    <w:name w:val="Quote"/>
    <w:basedOn w:val="Normal"/>
    <w:next w:val="Normal"/>
    <w:link w:val="QuoteChar"/>
    <w:uiPriority w:val="29"/>
    <w:qFormat/>
    <w:rsid w:val="00EF3E4E"/>
    <w:rPr>
      <w:i/>
      <w:iCs/>
      <w:color w:val="000000" w:themeColor="text1"/>
    </w:rPr>
  </w:style>
  <w:style w:type="character" w:customStyle="1" w:styleId="QuoteChar">
    <w:name w:val="Quote Char"/>
    <w:basedOn w:val="DefaultParagraphFont"/>
    <w:link w:val="Quote"/>
    <w:uiPriority w:val="29"/>
    <w:rsid w:val="00EF3E4E"/>
    <w:rPr>
      <w:i/>
      <w:iCs/>
      <w:color w:val="000000" w:themeColor="text1"/>
    </w:rPr>
  </w:style>
  <w:style w:type="character" w:styleId="Strong">
    <w:name w:val="Strong"/>
    <w:basedOn w:val="DefaultParagraphFont"/>
    <w:uiPriority w:val="22"/>
    <w:qFormat/>
    <w:rsid w:val="00EF3E4E"/>
    <w:rPr>
      <w:b/>
      <w:bCs/>
    </w:rPr>
  </w:style>
  <w:style w:type="character" w:styleId="IntenseEmphasis">
    <w:name w:val="Intense Emphasis"/>
    <w:basedOn w:val="DefaultParagraphFont"/>
    <w:uiPriority w:val="21"/>
    <w:qFormat/>
    <w:rsid w:val="00EF3E4E"/>
    <w:rPr>
      <w:b/>
      <w:bCs/>
      <w:i/>
      <w:iCs/>
      <w:color w:val="4F81BD" w:themeColor="accent1"/>
    </w:rPr>
  </w:style>
  <w:style w:type="character" w:styleId="SubtleEmphasis">
    <w:name w:val="Subtle Emphasis"/>
    <w:basedOn w:val="DefaultParagraphFont"/>
    <w:uiPriority w:val="19"/>
    <w:qFormat/>
    <w:rsid w:val="00EF3E4E"/>
    <w:rPr>
      <w:i/>
      <w:iCs/>
      <w:color w:val="808080" w:themeColor="text1" w:themeTint="7F"/>
    </w:rPr>
  </w:style>
  <w:style w:type="paragraph" w:styleId="Title">
    <w:name w:val="Title"/>
    <w:basedOn w:val="Normal"/>
    <w:next w:val="Normal"/>
    <w:link w:val="TitleChar"/>
    <w:uiPriority w:val="10"/>
    <w:qFormat/>
    <w:rsid w:val="00EF3E4E"/>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EF3E4E"/>
    <w:rPr>
      <w:rFonts w:asciiTheme="majorHAnsi" w:eastAsiaTheme="majorEastAsia" w:hAnsiTheme="majorHAns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EF3E4E"/>
    <w:rPr>
      <w:rFonts w:asciiTheme="majorHAnsi" w:eastAsiaTheme="majorEastAsia" w:hAnsiTheme="majorHAnsi"/>
      <w:i/>
      <w:iCs/>
    </w:rPr>
  </w:style>
  <w:style w:type="paragraph" w:styleId="BalloonText">
    <w:name w:val="Balloon Text"/>
    <w:basedOn w:val="Normal"/>
    <w:link w:val="BalloonTextChar"/>
    <w:uiPriority w:val="99"/>
    <w:semiHidden/>
    <w:unhideWhenUsed/>
    <w:rsid w:val="00730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B2E"/>
    <w:rPr>
      <w:rFonts w:ascii="Segoe UI" w:hAnsi="Segoe UI" w:cs="Segoe UI"/>
      <w:sz w:val="18"/>
      <w:szCs w:val="18"/>
    </w:rPr>
  </w:style>
  <w:style w:type="paragraph" w:styleId="Header">
    <w:name w:val="header"/>
    <w:basedOn w:val="Normal"/>
    <w:link w:val="HeaderChar"/>
    <w:uiPriority w:val="99"/>
    <w:unhideWhenUsed/>
    <w:rsid w:val="000D4DDB"/>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4DDB"/>
  </w:style>
  <w:style w:type="paragraph" w:styleId="Footer">
    <w:name w:val="footer"/>
    <w:basedOn w:val="Normal"/>
    <w:link w:val="FooterChar"/>
    <w:uiPriority w:val="99"/>
    <w:unhideWhenUsed/>
    <w:rsid w:val="000D4DDB"/>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Normal_Qiagenw10</Template>
  <TotalTime>0</TotalTime>
  <Pages>10</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Samanta - QIAGEN</dc:creator>
  <cp:keywords/>
  <dc:description/>
  <cp:lastModifiedBy>Sandipan Samanta - QIAGEN</cp:lastModifiedBy>
  <cp:revision>11</cp:revision>
  <cp:lastPrinted>2020-06-19T11:40:00Z</cp:lastPrinted>
  <dcterms:created xsi:type="dcterms:W3CDTF">2020-06-19T11:01:00Z</dcterms:created>
  <dcterms:modified xsi:type="dcterms:W3CDTF">2021-02-01T08:33:00Z</dcterms:modified>
</cp:coreProperties>
</file>