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E3A8A"/>
          <w:sz w:val="26"/>
        </w:rPr>
        <w:t>FOUNDATIONS OF GENERATIVE AI (ICT4403)</w:t>
        <w:br/>
      </w:r>
      <w:r>
        <w:rPr>
          <w:b/>
          <w:color w:val="0F172A"/>
          <w:sz w:val="32"/>
        </w:rPr>
        <w:t>ASSIGNMENT 3 — SUBMISSION REPORT</w:t>
        <w:br/>
      </w:r>
    </w:p>
    <w:p>
      <w:pPr>
        <w:spacing w:after="360"/>
        <w:jc w:val="center"/>
      </w:pPr>
      <w:r>
        <w:rPr>
          <w:i/>
          <w:color w:val="475569"/>
          <w:sz w:val="22"/>
        </w:rPr>
        <w:t>Comparative Machine Translation Benchmark Across Encoder-Decoder &amp; Decoder-Only Architectures</w:t>
      </w:r>
    </w:p>
    <w:p>
      <w:pPr>
        <w:pStyle w:val="Heading1"/>
        <w:spacing w:before="240" w:after="120"/>
      </w:pPr>
      <w:r>
        <w:t>1. Submission &amp; Student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Student Name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Satyam Saraf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Registration Number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[Registration Number]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Assignment Title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Assignment 3: Machine Translation Systems Development &amp; Comparative Evaluation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Title of Developed System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PolyGlot-Bench: Multilingual Autoregressive &amp; Encoder-Decoder Machine Translation (En -&gt; Fr)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Name and Link of Dataset Used</w:t>
            </w:r>
          </w:p>
        </w:tc>
        <w:tc>
          <w:tcPr>
            <w:tcW w:type="dxa" w:w="6192"/>
          </w:tcPr>
          <w:p>
            <w:r>
              <w:rPr>
                <w:color w:val="2563EB"/>
                <w:sz w:val="20"/>
                <w:u w:val="single"/>
              </w:rPr>
              <w:t>OPUS-100 Parallel Corpus (English-French)</w:t>
              <w:br/>
              <w:t>Source Link: https://huggingface.co/datasets/Helsinki-NLP/opus-100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GitHub Repository Link</w:t>
            </w:r>
          </w:p>
        </w:tc>
        <w:tc>
          <w:tcPr>
            <w:tcW w:type="dxa" w:w="6192"/>
          </w:tcPr>
          <w:p>
            <w:r>
              <w:rPr>
                <w:color w:val="2563EB"/>
                <w:sz w:val="20"/>
                <w:u w:val="single"/>
              </w:rPr>
              <w:t>https://github.com/ssaraf990/ICT4403-Machine-Translation-Benchmark</w:t>
            </w:r>
          </w:p>
        </w:tc>
      </w:tr>
    </w:tbl>
    <w:p>
      <w:pPr>
        <w:pStyle w:val="Heading1"/>
      </w:pPr>
      <w:r>
        <w:t>2. Executive Summary &amp; Objective</w:t>
      </w:r>
    </w:p>
    <w:p>
      <w:pPr>
        <w:spacing w:line="276" w:lineRule="auto"/>
      </w:pPr>
      <w:r>
        <w:t>This project develops, adapts, benchmarks, and critically examines four distinct machine translation systems translating from English (source) to French (target) using the open OPUS-100 parallel corpus. The investigation compares fundamental architectural paradigms: Vanilla Encoder-Decoder Transformer trained from scratch, Pretrained Multilingual Encoder-Decoder (mT5), and Decoder-Only Large Language Models (LLaMA and Gemma) adapted via instruction prompting.</w:t>
      </w:r>
    </w:p>
    <w:p>
      <w:pPr>
        <w:pStyle w:val="Heading1"/>
      </w:pPr>
      <w:r>
        <w:t>3. Dataset Description &amp; Preprocessing Pipeline</w:t>
      </w:r>
    </w:p>
    <w:p>
      <w:r>
        <w:t>• Source Dataset: OPUS-100 Multilingual Corpus (Helsinki-NLP/opus-100; Tiedemann 2012, Aulamo et al. 2020).</w:t>
        <w:br/>
        <w:t>• Language Pair: English (en) -&gt; French (fr).</w:t>
        <w:br/>
        <w:t>• Partitions: 10,000 sentence pairs for training, 1,000 for validation, and 500 for held-out evaluation.</w:t>
        <w:br/>
        <w:t>• Preprocessing: Unicode normalization (NFKC), non-printable character removal, word-length filtering (3 to 35 words), sentence length ratio bounds (0.35 &lt;= ratio &lt;= 2.8), and duplicate/copy pair elimination.</w:t>
      </w:r>
    </w:p>
    <w:p>
      <w:pPr>
        <w:pStyle w:val="Heading1"/>
      </w:pPr>
      <w:r>
        <w:t>4. Implemented Models &amp; Architectural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8F0"/>
          </w:tcPr>
          <w:p>
            <w:r>
              <w:rPr>
                <w:b/>
                <w:sz w:val="19"/>
              </w:rPr>
              <w:t>Model Name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  <w:sz w:val="19"/>
              </w:rPr>
              <w:t>Architecture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  <w:sz w:val="19"/>
              </w:rPr>
              <w:t>Parameter Count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  <w:sz w:val="19"/>
              </w:rPr>
              <w:t>Adaptation Strategy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Basic Transformer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Encoder-Decoder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10.29 Million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Trained from Scratch (Cross-Entropy, Adam)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mT5 (google/mt5-small)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Encoder-Decoder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300.2 Million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Pretrained + Fine-Tuning (Seq2Seq Prefix)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LLaMA (TinyLlama-1.1B)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Decoder-Only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1.10 Billion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In-Context Instruction Prompting (Zero/Few-Shot)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Gemma (google/gemma-2b)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Decoder-Only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2.51 Billion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In-Context Turn Prompting (&lt;start_of_turn&gt;)</w:t>
            </w:r>
          </w:p>
        </w:tc>
      </w:tr>
    </w:tbl>
    <w:p>
      <w:pPr>
        <w:pStyle w:val="Heading1"/>
      </w:pPr>
      <w:r>
        <w:t>5. Comparative Evaluation &amp; Benchmark Results</w:t>
      </w:r>
    </w:p>
    <w:p>
      <w:r>
        <w:t>All models were evaluated on the identical held-out test split under comparable decoding settings: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BLEU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chrF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Latency (ms)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Training Time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  <w:sz w:val="19"/>
              </w:rPr>
              <w:t>Best At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Basic Transformer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9.24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366.9 ms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288.4 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Speed / Ultra-low Footprint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mT5 (google/mt5-small)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3.18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911.0 ms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98.0 s (Fine-tune)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Task Efficiency &amp; Balanced Size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LLaMA (TinyLlama-1.1B)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17.04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41.24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2560.9 ms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 s (Prompting)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Zero-Shot Fluency &amp; Idioms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Gemma (gemma-2b)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8.37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31.42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43.8 ms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 s (Prompting)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High-Fidelity Prompting &amp; World Knowledge</w:t>
            </w:r>
          </w:p>
        </w:tc>
      </w:tr>
    </w:tbl>
    <w:p>
      <w:pPr>
        <w:spacing w:before="16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u_chrf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BLEU and chrF Translation Scores across All Four Model Architectures.</w:t>
      </w:r>
    </w:p>
    <w:p>
      <w:r>
        <w:drawing>
          <wp:inline xmlns:a="http://schemas.openxmlformats.org/drawingml/2006/main" xmlns:pic="http://schemas.openxmlformats.org/drawingml/2006/picture">
            <wp:extent cx="5303520" cy="3241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vs_ble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Architecture Trade-off between Parameter Count and Translation BLEU Score.</w:t>
      </w:r>
    </w:p>
    <w:p>
      <w:pPr>
        <w:pStyle w:val="Heading1"/>
      </w:pPr>
      <w:r>
        <w:t>6. Sampling-Temperature Sensitivity Analysis</w:t>
      </w:r>
    </w:p>
    <w:p>
      <w:r>
        <w:t>A parametric sweep across temperatures T in {0.0, 0.3, 0.7, 1.0, 1.2} on the decoder-only architecture confirmed that greedy deterministic decoding (T=0.0) yields the highest BLEU (16.65) and chrF (43.63). As sampling temperature increases, translation accuracy monotonically deteriorates (dropping to BLEU 3.65 at T=1.2), while lexical entropy and hallucination rates increase. For precise machine translation tasks, deterministic greedy decoding is strongly recommended.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Impact of Sampling Temperature on BLEU, chrF, and Lexical Diversity (Distinct-2).</w:t>
      </w:r>
    </w:p>
    <w:p>
      <w:pPr>
        <w:pStyle w:val="Heading1"/>
      </w:pPr>
      <w:r>
        <w:t>7. Responsible &amp; Ethical AI Analysis</w:t>
      </w:r>
    </w:p>
    <w:p>
      <w:r>
        <w:t>• Gender &amp; Occupational Bias: Gender-neutral English titles systematically defaulted to masculine forms for authority roles ('The doctor' -&gt; 'Le médecin') and feminine forms for caregiving roles ('The nurse' -&gt; 'L'infirmière').</w:t>
        <w:br/>
        <w:t>• Cultural Nuances: Pretrained models translated idiomatic expressions authentically ('Break a leg' -&gt; 'Bonne chance !'), whereas the Basic Transformer suffered from absurd word-for-word translation ('Casse-toi une jambe').</w:t>
        <w:br/>
        <w:t>• High-Stakes Safety: Inverted negation was observed in the small Transformer ('Do not consume' -&gt; 'Consommer'), highlighting the necessity of constrained decoding in clinical applications.</w:t>
        <w:br/>
        <w:t>• Mitigation: Gender-balanced counterfactual training, multi-gender interactive UI options, and reference-free quality estimation filters (COMET-QE).</w:t>
      </w:r>
    </w:p>
    <w:p>
      <w:pPr>
        <w:pStyle w:val="Heading1"/>
      </w:pPr>
      <w:r>
        <w:t>8. Conclusion: Best-Performing Model</w:t>
      </w:r>
    </w:p>
    <w:p>
      <w:r>
        <w:t>LLaMA (TinyLlama-1.1B) and Gemma emerged as the top-performing models in zero-shot translation quality, with LLaMA achieving the highest BLEU (17.04) and chrF (41.24) and fluent idiomatic expression handling. However, for real-time and edge environments where RAM and compute are constrained, the Encoder-Decoder models (Basic Transformer and mT5) provide sub-second latency (366ms - 910ms vs 2560ms) and minimal parameter footprints.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