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46F1" w14:textId="2A3268EB" w:rsidR="009A0F6E" w:rsidRDefault="00234589">
      <w:r>
        <w:t xml:space="preserve">This folder contains a replication of </w:t>
      </w:r>
      <w:r w:rsidRPr="00234589">
        <w:t>Measuring the Equilibrium Impacts of Credit: Evidence from the Indian Microfinance Crisis</w:t>
      </w:r>
      <w:r>
        <w:t xml:space="preserve"> – done by Shreya Sarkar. All the details are documented on Social Science Reproduction Plantform.</w:t>
      </w:r>
    </w:p>
    <w:sectPr w:rsidR="009A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89"/>
    <w:rsid w:val="00234589"/>
    <w:rsid w:val="009A0F6E"/>
    <w:rsid w:val="00AA6346"/>
    <w:rsid w:val="00CB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3EDFD"/>
  <w15:chartTrackingRefBased/>
  <w15:docId w15:val="{1BC7E9E0-F61B-B444-AD77-665154A1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Sarkar</dc:creator>
  <cp:keywords/>
  <dc:description/>
  <cp:lastModifiedBy>Shreya Sarkar</cp:lastModifiedBy>
  <cp:revision>1</cp:revision>
  <dcterms:created xsi:type="dcterms:W3CDTF">2022-04-07T18:35:00Z</dcterms:created>
  <dcterms:modified xsi:type="dcterms:W3CDTF">2022-04-07T18:38:00Z</dcterms:modified>
</cp:coreProperties>
</file>