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888888"/>
          <w:sz w:val="20"/>
          <w:szCs w:val="20"/>
        </w:rPr>
        <w:t xml:space="preserve">ARBITARA</w:t>
      </w:r>
    </w:p>
    <w:p>
      <w:pPr>
        <w:spacing w:after="40" w:before="0"/>
      </w:pPr>
      <w:r>
        <w:rPr>
          <w:rFonts w:ascii="Arial" w:cs="Arial" w:eastAsia="Arial" w:hAnsi="Arial"/>
          <w:i/>
          <w:iCs/>
          <w:color w:val="AAAAAA"/>
          <w:sz w:val="20"/>
          <w:szCs w:val="20"/>
        </w:rPr>
        <w:t xml:space="preserve">Decide to Impact</w:t>
      </w:r>
    </w:p>
    <w:p>
      <w:pPr>
        <w:spacing w:after="80" w:before="80"/>
      </w:pPr>
      <w:r>
        <w:t xml:space="preserve"/>
      </w:r>
    </w:p>
    <w:p>
      <w:pPr>
        <w:pStyle w:val="Heading1"/>
        <w:spacing w:after="200" w:before="480"/>
      </w:pPr>
      <w:r>
        <w:rPr>
          <w:rFonts w:ascii="Arial" w:cs="Arial" w:eastAsia="Arial" w:hAnsi="Arial"/>
          <w:b/>
          <w:bCs/>
          <w:color w:val="1A1A2E"/>
          <w:sz w:val="40"/>
          <w:szCs w:val="40"/>
        </w:rPr>
        <w:t xml:space="preserve">Foreword · 0.2  Why Now</w:t>
      </w:r>
    </w:p>
    <w:p>
      <w:pPr>
        <w:spacing w:after="80" w:before="80"/>
      </w:pPr>
      <w:r>
        <w:t xml:space="preserve"/>
      </w:r>
    </w:p>
    <w:p>
      <w:pPr>
        <w:spacing w:after="160" w:before="160" w:line="320" w:lineRule="auto"/>
      </w:pPr>
      <w:r>
        <w:rPr>
          <w:rFonts w:ascii="Arial" w:cs="Arial" w:eastAsia="Arial" w:hAnsi="Arial"/>
          <w:sz w:val="24"/>
          <w:szCs w:val="24"/>
        </w:rPr>
        <w:t xml:space="preserve">The case for a Management Decision Intelligence Platform is not new. The problem — that organizations systematize everything except the decisions that actually shape them — has existed for as long as organizations have. What has changed is the convergence of three forces that make this moment, specifically, the right one to build Arbitara.</w:t>
      </w:r>
    </w:p>
    <w:p>
      <w:pPr>
        <w:spacing w:after="80" w:before="80"/>
      </w:pPr>
      <w:r>
        <w:t xml:space="preserve"/>
      </w:r>
    </w:p>
    <w:p>
      <w:pPr>
        <w:spacing w:after="160" w:before="160" w:line="320" w:lineRule="auto"/>
      </w:pPr>
      <w:r>
        <w:rPr>
          <w:rFonts w:ascii="Arial" w:cs="Arial" w:eastAsia="Arial" w:hAnsi="Arial"/>
          <w:b/>
          <w:bCs/>
          <w:sz w:val="24"/>
          <w:szCs w:val="24"/>
        </w:rPr>
        <w:t xml:space="preserve">The first force is AI.</w:t>
      </w:r>
      <w:r>
        <w:rPr>
          <w:rFonts w:ascii="Arial" w:cs="Arial" w:eastAsia="Arial" w:hAnsi="Arial"/>
          <w:sz w:val="24"/>
          <w:szCs w:val="24"/>
        </w:rPr>
        <w:t xml:space="preserve"> Generative AI has, in the space of three years, become a daily instrument for millions of managers. Executives draft strategy memos with it. Consultants summarize board packs. Analysts stress-test assumptions. The tools are genuinely useful — and they leave nothing behind. Each conversation ends, the context is lost, and the organization is no smarter than it was before. AI has created an enormous appetite for decision support while simultaneously exposing the exact gap Arbitara fills: institutional memory. The question is no longer whether leaders will use AI in their decision-making. They already do. The question is whether that intelligence gets captured, attributed, and made available to the next person who faces the same choice. Without a platform like Arbitara, the answer is no.</w:t>
      </w:r>
    </w:p>
    <w:p>
      <w:pPr>
        <w:spacing w:after="80" w:before="80"/>
      </w:pPr>
      <w:r>
        <w:t xml:space="preserve"/>
      </w:r>
    </w:p>
    <w:p>
      <w:pPr>
        <w:spacing w:after="160" w:before="160" w:line="320" w:lineRule="auto"/>
      </w:pPr>
      <w:r>
        <w:rPr>
          <w:rFonts w:ascii="Arial" w:cs="Arial" w:eastAsia="Arial" w:hAnsi="Arial"/>
          <w:b/>
          <w:bCs/>
          <w:sz w:val="24"/>
          <w:szCs w:val="24"/>
        </w:rPr>
        <w:t xml:space="preserve">The second force is institutional complexity.</w:t>
      </w:r>
      <w:r>
        <w:rPr>
          <w:rFonts w:ascii="Arial" w:cs="Arial" w:eastAsia="Arial" w:hAnsi="Arial"/>
          <w:sz w:val="24"/>
          <w:szCs w:val="24"/>
        </w:rPr>
        <w:t xml:space="preserve"> Organizations have grown structurally harder to govern. Boards have become more demanding. Regulatory environments have tightened across every major industry — financial services, pharma, energy, infrastructure. ESG disclosure requirements have introduced new accountability surface. At the same time, decision-making authority has dispersed: matrix structures, remote teams, and federated operating models mean that consequential choices are made by people who may never be in the same room. The result is a governance paradox: more accountability is demanded while the mechanisms for enforcing it have weakened. Arbitara resolves this paradox by making decisions visible. You cannot govern what you cannot see.</w:t>
      </w:r>
    </w:p>
    <w:p>
      <w:pPr>
        <w:spacing w:after="80" w:before="80"/>
      </w:pPr>
      <w:r>
        <w:t xml:space="preserve"/>
      </w:r>
    </w:p>
    <w:p>
      <w:pPr>
        <w:spacing w:after="160" w:before="160" w:line="320" w:lineRule="auto"/>
      </w:pPr>
      <w:r>
        <w:rPr>
          <w:rFonts w:ascii="Arial" w:cs="Arial" w:eastAsia="Arial" w:hAnsi="Arial"/>
          <w:b/>
          <w:bCs/>
          <w:sz w:val="24"/>
          <w:szCs w:val="24"/>
        </w:rPr>
        <w:t xml:space="preserve">The third force is leadership turnover.</w:t>
      </w:r>
      <w:r>
        <w:rPr>
          <w:rFonts w:ascii="Arial" w:cs="Arial" w:eastAsia="Arial" w:hAnsi="Arial"/>
          <w:sz w:val="24"/>
          <w:szCs w:val="24"/>
        </w:rPr>
        <w:t xml:space="preserve"> The average tenure of a Fortune 500 CEO is now under five years. Chief Strategy Officers, CFOs, and division heads turn over faster still. Every departure is an institutional memory event — a loss of context that took years to accumulate. The incoming leader inherits a strategy but not the reasoning behind it. They cannot know which decisions are load-bearing and which are merely inherited habit. Legacy choices persist not because they are right but because no one can find the original rationale to challenge them. This is not a people problem. It is a systems problem. And it is a problem Arbitara was designed to solve.</w:t>
      </w:r>
    </w:p>
    <w:p>
      <w:pPr>
        <w:spacing w:after="80" w:before="80"/>
      </w:pPr>
      <w:r>
        <w:t xml:space="preserve"/>
      </w:r>
    </w:p>
    <w:p>
      <w:pPr>
        <w:spacing w:after="160" w:before="160" w:line="320" w:lineRule="auto"/>
      </w:pPr>
      <w:r>
        <w:rPr>
          <w:rFonts w:ascii="Arial" w:cs="Arial" w:eastAsia="Arial" w:hAnsi="Arial"/>
          <w:sz w:val="24"/>
          <w:szCs w:val="24"/>
        </w:rPr>
        <w:t xml:space="preserve">Taken individually, each of these forces is a trend. Taken together, they are a forcing function. AI has created demand for decision intelligence. Complexity has created demand for governance. Turnover has created demand for institutional memory. Arbitara is the platform at the intersection of all three.</w:t>
      </w:r>
    </w:p>
    <w:p>
      <w:pPr>
        <w:spacing w:after="80" w:before="80"/>
      </w:pPr>
      <w:r>
        <w:t xml:space="preserve"/>
      </w:r>
    </w:p>
    <w:p>
      <w:pPr>
        <w:spacing w:after="160" w:before="160" w:line="320" w:lineRule="auto"/>
      </w:pPr>
      <w:r>
        <w:rPr>
          <w:rFonts w:ascii="Arial" w:cs="Arial" w:eastAsia="Arial" w:hAnsi="Arial"/>
          <w:sz w:val="24"/>
          <w:szCs w:val="24"/>
        </w:rPr>
        <w:t xml:space="preserve">There is one additional reason this is the right moment. Category creation requires a preceding category to have succeeded. Salesforce did not create CRM from a standing start — it arrived after a generation of executives had learned to manage customer relationships as a discipline. Signavio did not invent process management — it arrived after ISO, Six Sigma, and lean thinking had established processes as objects worth managing. The management decision space is at that same inflection point. Decision science is a mature academic discipline. Behavioral economics — Kahneman, Thaler, Ariely — has moved from university libraries into boardroom conversations. Executives know the vocabulary: cognitive bias, decision rights, post-mortem, pre-mortem. The intellectual groundwork is laid. What does not yet exist is the software that operationalizes it.</w:t>
      </w:r>
    </w:p>
    <w:p>
      <w:pPr>
        <w:spacing w:after="80" w:before="80"/>
      </w:pPr>
      <w:r>
        <w:t xml:space="preserve"/>
      </w:r>
    </w:p>
    <w:p>
      <w:pPr>
        <w:spacing w:after="80" w:before="80"/>
      </w:pPr>
      <w:r>
        <w:t xml:space="preserve"/>
      </w:r>
    </w:p>
    <w:p>
      <w:pPr>
        <w:spacing w:after="240" w:before="240"/>
      </w:pPr>
      <w:r>
        <w:rPr>
          <w:rFonts w:ascii="Arial" w:cs="Arial" w:eastAsia="Arial" w:hAnsi="Arial"/>
          <w:b/>
          <w:bCs/>
          <w:i/>
          <w:iCs/>
          <w:color w:val="1A1A2E"/>
          <w:sz w:val="28"/>
          <w:szCs w:val="28"/>
        </w:rPr>
        <w:t xml:space="preserve">That is the gap. That is the moment. That is why now.</w:t>
      </w:r>
    </w:p>
    <w:p>
      <w:pPr>
        <w:spacing w:after="80" w:before="80"/>
      </w:pPr>
      <w:r>
        <w:t xml:space="preserve"/>
      </w:r>
    </w:p>
    <w:p>
      <w:pPr>
        <w:spacing w:after="80" w:before="80"/>
      </w:pPr>
      <w:r>
        <w:t xml:space="preserve"/>
      </w:r>
    </w:p>
    <w:p>
      <w:pPr>
        <w:spacing w:after="0" w:before="480"/>
      </w:pPr>
      <w:r>
        <w:rPr>
          <w:rFonts w:ascii="Arial" w:cs="Arial" w:eastAsia="Arial" w:hAnsi="Arial"/>
          <w:color w:val="AAAAAA"/>
          <w:sz w:val="18"/>
          <w:szCs w:val="18"/>
        </w:rPr>
        <w:t xml:space="preserve">ARBITARA  ·  Decide to Impact  ·  Blueprint Draft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2026-05-01T05:39:57.948Z</dcterms:created>
  <dcterms:modified xsi:type="dcterms:W3CDTF">2026-05-01T05:39:57.948Z</dcterms:modified>
</cp:coreProperties>
</file>

<file path=docProps/custom.xml><?xml version="1.0" encoding="utf-8"?>
<Properties xmlns="http://schemas.openxmlformats.org/officeDocument/2006/custom-properties" xmlns:vt="http://schemas.openxmlformats.org/officeDocument/2006/docPropsVTypes"/>
</file>