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Knowledge Content Governance and Publishing Standard Operating Procedure</w:t>
      </w:r>
    </w:p>
    <w:p>
      <w:pPr>
        <w:pStyle w:val="Subtitle"/>
      </w:pPr>
      <w:r>
        <w:t>Unified NSIPA G2P Platform</w:t>
      </w:r>
    </w:p>
    <w:p>
      <w:pPr>
        <w:spacing w:after="20"/>
      </w:pPr>
      <w:r>
        <w:rPr>
          <w:sz w:val="18"/>
        </w:rPr>
        <w:t>Process owner: Designated government knowledge owner</w:t>
      </w:r>
    </w:p>
    <w:p>
      <w:pPr>
        <w:spacing w:after="20"/>
      </w:pPr>
      <w:r>
        <w:rPr>
          <w:sz w:val="18"/>
        </w:rPr>
        <w:t>Version 1.0 | 29 September 2026 | Proposed controlled procedure</w:t>
      </w:r>
    </w:p>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Document status</w:t>
            </w:r>
          </w:p>
        </w:tc>
        <w:tc>
          <w:tcPr>
            <w:tcW w:type="dxa" w:w="69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Approved use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Proposed SOP</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Operational use after agency approval and confirmation of the repository and publishing workflow</w:t>
            </w:r>
          </w:p>
        </w:tc>
      </w:tr>
    </w:tbl>
    <w:p>
      <w:pPr>
        <w:spacing w:after="40"/>
      </w:pPr>
    </w:p>
    <w:p>
      <w:pPr>
        <w:pStyle w:val="Heading1"/>
      </w:pPr>
      <w:r>
        <w:t>1 Purpose</w:t>
      </w:r>
    </w:p>
    <w:p>
      <w:r>
        <w:t>This SOP governs the creation, review, approval, publication, change and retirement of programme knowledge used in beneficiary guidance, staff support, SOPs, job aids, learning material and contextual help.</w:t>
      </w:r>
    </w:p>
    <w:p>
      <w:pPr>
        <w:pStyle w:val="Heading1"/>
      </w:pPr>
      <w:r>
        <w:t>2 Principles</w:t>
      </w:r>
    </w:p>
    <w:p>
      <w:pPr>
        <w:pStyle w:val="ListBullet"/>
        <w:spacing w:after="60"/>
      </w:pPr>
      <w:r>
        <w:t>Only an authorised government source can establish programme policy, entitlement, eligibility, payment, appeal or operating rules.</w:t>
      </w:r>
    </w:p>
    <w:p>
      <w:pPr>
        <w:pStyle w:val="ListBullet"/>
        <w:spacing w:after="60"/>
      </w:pPr>
      <w:r>
        <w:t>Each published item must have a source, owner, approver, audience, version, effective date and review date.</w:t>
      </w:r>
    </w:p>
    <w:p>
      <w:pPr>
        <w:pStyle w:val="ListBullet"/>
        <w:spacing w:after="60"/>
      </w:pPr>
      <w:r>
        <w:t>Role and permission filtering must not reveal beneficiary-sensitive data or restricted operating information.</w:t>
      </w:r>
    </w:p>
    <w:p>
      <w:pPr>
        <w:pStyle w:val="ListBullet"/>
        <w:spacing w:after="60"/>
      </w:pPr>
      <w:r>
        <w:t>Translation, regional adaptation and summarisation require controlled review against the authoritative source.</w:t>
      </w:r>
    </w:p>
    <w:p>
      <w:pPr>
        <w:pStyle w:val="ListBullet"/>
        <w:spacing w:after="60"/>
      </w:pPr>
      <w:r>
        <w:t>AI may assist drafting or search only when separately approved; accountable humans retain approval responsibility.</w:t>
      </w:r>
    </w:p>
    <w:p>
      <w:pPr>
        <w:pStyle w:val="Heading1"/>
      </w:pPr>
      <w:r>
        <w:t>3 Roles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Role</w:t>
            </w:r>
          </w:p>
        </w:tc>
        <w:tc>
          <w:tcPr>
            <w:tcW w:type="dxa" w:w="70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Responsibility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Policy or process owner</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Owns authoritative rules and approves substantive accuracy.</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owner</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Owns the content domain, review schedule, audience and publication decision.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Author or editor</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Drafts content from approved sources and applies templates and metadata.</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Subject-matter reviewer</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Checks operational accuracy, exceptions, escalation and supporting evidence.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Language reviewer</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Approves translation, terminology and comprehension for the relevant language or region.</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Publisher or repository administrator</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Publishes only approved versions, applies permissions and preserves audit history.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technical owner</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Confirms repository, search, identity, integration, security, backup and analytics behaviour.</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Swift KM and UX team</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Conducts agreed discovery, architecture, templates, prototypes, bounded content work and assurance.</w:t>
            </w:r>
          </w:p>
        </w:tc>
      </w:tr>
    </w:tbl>
    <w:p>
      <w:pPr>
        <w:spacing w:after="40"/>
      </w:pPr>
    </w:p>
    <w:p>
      <w:pPr>
        <w:pStyle w:val="Heading1"/>
      </w:pPr>
      <w:r>
        <w:t>4 Content record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Field</w:t>
            </w:r>
          </w:p>
        </w:tc>
        <w:tc>
          <w:tcPr>
            <w:tcW w:type="dxa" w:w="70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Required control</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Identifier</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Stable unique content ID</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Title and content type</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Plain descriptive title and approved template type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Authoritative source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Source ID, owner, issue date and authority status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Audience and role</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Beneficiary, field, staff, supervisor, support, editor or other approved role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Programme and workflow</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Applicable programme, task, state, exception and escalation context</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Language and region</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language, geographic scope and fallback</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Security classification</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Public, internal, restricted or other approved class</w:t>
            </w:r>
          </w:p>
        </w:tc>
      </w:tr>
      <w:tr>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Version controls</w:t>
            </w:r>
          </w:p>
        </w:tc>
        <w:tc>
          <w:tcPr>
            <w:tcW w:type="dxa" w:w="70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Version, approver, effective date, review date, supersedes and retirement status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Publication destinations</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Portal, embedded help, repository, job aid, training or other approved channel</w:t>
            </w:r>
          </w:p>
        </w:tc>
      </w:tr>
    </w:tbl>
    <w:p>
      <w:pPr>
        <w:spacing w:after="40"/>
      </w:pPr>
    </w:p>
    <w:p>
      <w:pPr>
        <w:pStyle w:val="Heading1"/>
      </w:pPr>
      <w:r>
        <w:t>5 Procedure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Step</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Responsible</w:t>
            </w:r>
          </w:p>
        </w:tc>
        <w:tc>
          <w:tcPr>
            <w:tcW w:type="dxa" w:w="525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Procedure</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Exit evidence</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 Request and intake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owner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Record the need, audience, workflow, urgency, requested channel, source owner and risk. Reject anonymous or unauthorised rule changes.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Controlled content request</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2 Source verification</w:t>
            </w:r>
          </w:p>
        </w:tc>
        <w:tc>
          <w:tcPr>
            <w:tcW w:type="dxa" w:w="18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Policy owner and editor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Identify the current authoritative policy, SOP, decision or approved public wording. Record conflicts, missing authority and copying or translation rights.</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Verified source record or blocked item</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3 Classification and assignment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owner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Assign content type, programme, role, language, region, security class, author, reviewers and due date.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Complete metadata and workflow assignment</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4 Draft</w:t>
            </w:r>
          </w:p>
        </w:tc>
        <w:tc>
          <w:tcPr>
            <w:tcW w:type="dxa" w:w="18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Author or editor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Use the approved template; write plain, task-focused guidance; distinguish rules, explanations, steps, exceptions and escalation. Do not infer policy.</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Draft with source links</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5 SME and policy review</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SME and policy owner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Check accuracy, completeness, exceptions, decisions, evidence, safeguarding and escalation. Resolve or record every comment.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Substantive approval</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6 UX accessibility and language review</w:t>
            </w:r>
          </w:p>
        </w:tc>
        <w:tc>
          <w:tcPr>
            <w:tcW w:type="dxa" w:w="18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UX accessibility and language reviewers</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Check comprehension, structure, inclusive language, text alternatives, reading order, translation and channel constraints.</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Presentation and language approval</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7 Technical and permission review</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technical owner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repository fields, access filters, contextual trigger, links, search behaviour, analytics, caching and withdrawal mechanism.</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Technical publication approval</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8 Final approval</w:t>
            </w:r>
          </w:p>
        </w:tc>
        <w:tc>
          <w:tcPr>
            <w:tcW w:type="dxa" w:w="18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owner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 all required approvals, effective date, review date, destinations and superseded items.</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Signed publication approval</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9 Publish</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Publisher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Publish the approved version, verify permissions and rendering, update indexes and links, and retain the audit event.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Publication and verification record</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10 Notify and enable</w:t>
            </w:r>
          </w:p>
        </w:tc>
        <w:tc>
          <w:tcPr>
            <w:tcW w:type="dxa" w:w="18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owner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Notify affected roles; update job aids, induction, release communication and frontline support where required.</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Change communication record</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11 Monitor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owner and service owner</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Review searches, feedback, support cases, exceptions and policy or software changes without exposing personal data.</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Review evidence and action register</w:t>
            </w:r>
          </w:p>
        </w:tc>
      </w:tr>
      <w:tr>
        <w:tc>
          <w:tcPr>
            <w:tcW w:type="dxa" w:w="79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12 Revise or retire</w:t>
            </w:r>
          </w:p>
        </w:tc>
        <w:tc>
          <w:tcPr>
            <w:tcW w:type="dxa" w:w="18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owner and publisher</w:t>
            </w:r>
          </w:p>
        </w:tc>
        <w:tc>
          <w:tcPr>
            <w:tcW w:type="dxa" w:w="525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Apply change workflow, supersede links, withdraw outdated guidance, preserve history and confirm all delivery channels are updated.</w:t>
            </w:r>
          </w:p>
        </w:tc>
        <w:tc>
          <w:tcPr>
            <w:tcW w:type="dxa" w:w="2088"/>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Supersession or retirement record</w:t>
            </w:r>
          </w:p>
        </w:tc>
      </w:tr>
    </w:tbl>
    <w:p>
      <w:pPr>
        <w:spacing w:after="40"/>
      </w:pPr>
    </w:p>
    <w:p>
      <w:pPr>
        <w:pStyle w:val="Heading1"/>
      </w:pPr>
      <w:r>
        <w:t>6 Contextual-help control</w:t>
      </w:r>
    </w:p>
    <w:p>
      <w:r>
        <w:t>Contextual help must map an approved content item to an actual role, task, workflow state or error condition. It must not inspect or disclose beneficiary data unless the approved technical design and data-protection assessment require and permit that processing.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Trigger element</w:t>
            </w:r>
          </w:p>
        </w:tc>
        <w:tc>
          <w:tcPr>
            <w:tcW w:type="dxa" w:w="69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Required evidence</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Application and version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Named frontend, repository or release</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Role and permission</w:t>
            </w:r>
          </w:p>
        </w:tc>
        <w:tc>
          <w:tcPr>
            <w:tcW w:type="dxa" w:w="69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audience and access rule</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Task or state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Confirmed workflow state or error code</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Content item</w:t>
            </w:r>
          </w:p>
        </w:tc>
        <w:tc>
          <w:tcPr>
            <w:tcW w:type="dxa" w:w="69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Approved content ID and version</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Escalation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Named human support or grievance route</w:t>
            </w:r>
          </w:p>
        </w:tc>
      </w:tr>
      <w:tr>
        <w:tc>
          <w:tcPr>
            <w:tcW w:type="dxa" w:w="30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Change trigger</w:t>
            </w:r>
          </w:p>
        </w:tc>
        <w:tc>
          <w:tcPr>
            <w:tcW w:type="dxa" w:w="69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Policy, content, workflow, API or software release condition</w:t>
            </w:r>
          </w:p>
        </w:tc>
      </w:tr>
    </w:tbl>
    <w:p>
      <w:pPr>
        <w:spacing w:after="40"/>
      </w:pPr>
    </w:p>
    <w:p>
      <w:pPr>
        <w:pStyle w:val="Heading1"/>
      </w:pPr>
      <w:r>
        <w:t>7 Urgent correction and withdrawal</w:t>
      </w:r>
    </w:p>
    <w:p>
      <w:pPr>
        <w:pStyle w:val="ListBullet"/>
        <w:spacing w:after="60"/>
      </w:pPr>
      <w:r>
        <w:t>Immediately restrict or withdraw content that could cause unlawful denial, incorrect payment action, unsafe handling, privacy breach or material public misinformation.</w:t>
      </w:r>
    </w:p>
    <w:p>
      <w:pPr>
        <w:pStyle w:val="ListBullet"/>
        <w:spacing w:after="60"/>
      </w:pPr>
      <w:r>
        <w:t>Record the reason, authorising person, affected channels, time of withdrawal and temporary approved guidance.</w:t>
      </w:r>
    </w:p>
    <w:p>
      <w:pPr>
        <w:pStyle w:val="ListBullet"/>
        <w:spacing w:after="60"/>
      </w:pPr>
      <w:r>
        <w:t>Notify support and operational owners and verify cache, search and embedded links no longer expose the withdrawn version.</w:t>
      </w:r>
    </w:p>
    <w:p>
      <w:pPr>
        <w:pStyle w:val="ListBullet"/>
        <w:spacing w:after="60"/>
      </w:pPr>
      <w:r>
        <w:t>Complete normal review before replacement publication and preserve the audit history.</w:t>
      </w:r>
    </w:p>
    <w:p>
      <w:pPr>
        <w:pStyle w:val="Heading1"/>
      </w:pPr>
      <w:r>
        <w:t>8 Change triggers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Trigger</w:t>
            </w:r>
          </w:p>
        </w:tc>
        <w:tc>
          <w:tcPr>
            <w:tcW w:type="dxa" w:w="662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Required review</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Policy or programme-rule change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All linked SOPs, explanations, decision guidance, training and contextual help</w:t>
            </w:r>
          </w:p>
        </w:tc>
      </w:tr>
      <w:tr>
        <w:tc>
          <w:tcPr>
            <w:tcW w:type="dxa" w:w="33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Software or workflow release</w:t>
            </w:r>
          </w:p>
        </w:tc>
        <w:tc>
          <w:tcPr>
            <w:tcW w:type="dxa" w:w="66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Screens, states, field names, error guidance, job aids and training</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Repeated operational exception</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Determine whether cause is policy, process, data, system, access, guidance or learning</w:t>
            </w:r>
          </w:p>
        </w:tc>
      </w:tr>
      <w:tr>
        <w:tc>
          <w:tcPr>
            <w:tcW w:type="dxa" w:w="33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Language or regional update</w:t>
            </w:r>
          </w:p>
        </w:tc>
        <w:tc>
          <w:tcPr>
            <w:tcW w:type="dxa" w:w="66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Authority, accuracy, cultural and terminology validation</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Security or privacy change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Permissions, classification, redaction, retention and publication destinations</w:t>
            </w:r>
          </w:p>
        </w:tc>
      </w:tr>
      <w:tr>
        <w:tc>
          <w:tcPr>
            <w:tcW w:type="dxa" w:w="33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Scheduled review date</w:t>
            </w:r>
          </w:p>
        </w:tc>
        <w:tc>
          <w:tcPr>
            <w:tcW w:type="dxa" w:w="662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Currency, ownership, evidence, usage and continued need</w:t>
            </w:r>
          </w:p>
        </w:tc>
      </w:tr>
    </w:tbl>
    <w:p>
      <w:pPr>
        <w:spacing w:after="40"/>
      </w:pPr>
    </w:p>
    <w:p>
      <w:pPr>
        <w:pStyle w:val="Heading1"/>
      </w:pPr>
      <w:r>
        <w:t>9 Quality and acceptance checks</w:t>
      </w:r>
    </w:p>
    <w:p>
      <w:pPr>
        <w:pStyle w:val="ListBullet"/>
        <w:spacing w:after="60"/>
      </w:pPr>
      <w:r>
        <w:t>Source and authority are identifiable and current.</w:t>
      </w:r>
    </w:p>
    <w:p>
      <w:pPr>
        <w:pStyle w:val="ListBullet"/>
        <w:spacing w:after="60"/>
      </w:pPr>
      <w:r>
        <w:t>The content does not invent eligibility, payment, appeal or escalation rights.</w:t>
      </w:r>
    </w:p>
    <w:p>
      <w:pPr>
        <w:pStyle w:val="ListBullet"/>
        <w:spacing w:after="60"/>
      </w:pPr>
      <w:r>
        <w:t>Role, programme, state, language, region and security classification are correct.</w:t>
      </w:r>
    </w:p>
    <w:p>
      <w:pPr>
        <w:pStyle w:val="ListBullet"/>
        <w:spacing w:after="60"/>
      </w:pPr>
      <w:r>
        <w:t>Instructions have clear actions, prerequisites, expected results and exception routes.</w:t>
      </w:r>
    </w:p>
    <w:p>
      <w:pPr>
        <w:pStyle w:val="ListBullet"/>
        <w:spacing w:after="60"/>
      </w:pPr>
      <w:r>
        <w:t>Links, search terms, accessibility and channel presentation are verified.</w:t>
      </w:r>
    </w:p>
    <w:p>
      <w:pPr>
        <w:pStyle w:val="ListBullet"/>
        <w:spacing w:after="60"/>
      </w:pPr>
      <w:r>
        <w:t>Version, effective date, review date, supersession and withdrawal controls are complete.</w:t>
      </w:r>
    </w:p>
    <w:p>
      <w:pPr>
        <w:pStyle w:val="Heading1"/>
      </w:pPr>
      <w:r>
        <w:t>10 Records retention and audit</w:t>
      </w:r>
    </w:p>
    <w:p>
      <w:r>
        <w:t>The repository must retain approved sources, drafts where required, review comments, approvals, published versions, permission changes, effective dates, withdrawals and audit events according to the government retention schedule. Personal information in feedback and analytics must be minimised and protected.</w:t>
      </w:r>
    </w:p>
    <w:p>
      <w:pPr>
        <w:pStyle w:val="Heading1"/>
      </w:pPr>
      <w:r>
        <w:t>11 Service-time and escalation schedule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Activity</w:t>
            </w:r>
          </w:p>
        </w:tc>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Target</w:t>
            </w:r>
          </w:p>
        </w:tc>
        <w:tc>
          <w:tcPr>
            <w:tcW w:type="dxa" w:w="2736"/>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Escalation owner</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Routine source validation</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Policy owner</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Routine content review</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7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owner</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Urgent harmful-content withdrawal</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according to risk classification</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Knowledge and programme owner</w:t>
            </w:r>
          </w:p>
        </w:tc>
      </w:tr>
      <w:tr>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Translation approval</w:t>
            </w:r>
          </w:p>
        </w:tc>
        <w:tc>
          <w:tcPr>
            <w:tcW w:type="dxa" w:w="360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736"/>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Language authority</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Technical publication</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TBD before SOP activation</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Repository administrator</w:t>
            </w:r>
          </w:p>
        </w:tc>
      </w:tr>
    </w:tbl>
    <w:p>
      <w:pPr>
        <w:spacing w:after="40"/>
      </w:pPr>
    </w:p>
    <w:p>
      <w:pPr>
        <w:pStyle w:val="Heading1"/>
      </w:pPr>
      <w:r>
        <w:t>12 Approval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Approver</w:t>
            </w:r>
          </w:p>
        </w:tc>
        <w:tc>
          <w:tcPr>
            <w:tcW w:type="dxa" w:w="374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Name</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b/>
                <w:color w:val="FFFFFF"/>
                <w:sz w:val="18"/>
              </w:rPr>
              <w:t>Signature and date</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Agency policy owner</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Government knowledge owner</w:t>
            </w:r>
          </w:p>
        </w:tc>
        <w:tc>
          <w:tcPr>
            <w:tcW w:type="dxa" w:w="37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OORU technical owner</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r>
        <w:tc>
          <w:tcPr>
            <w:tcW w:type="dxa" w:w="3312"/>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t>PMO process owner</w:t>
            </w:r>
          </w:p>
        </w:tc>
        <w:tc>
          <w:tcPr>
            <w:tcW w:type="dxa" w:w="3744"/>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c>
          <w:tcPr>
            <w:tcW w:type="dxa" w:w="2880"/>
            <w:shd w:fill="F5F7FA"/>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sz w:val="18"/>
              </w:rPr>
            </w:r>
          </w:p>
        </w:tc>
      </w:tr>
    </w:tbl>
    <w:p>
      <w:pPr>
        <w:spacing w:after="40"/>
      </w:pPr>
    </w:p>
    <w:sectPr w:rsidR="00FC693F" w:rsidRPr="0006063C" w:rsidSect="00034616">
      <w:footerReference w:type="default" r:id="rId9"/>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SWIFT-NSIPA-SOP-KMS  |  Version 1.0  |  Controlled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NSIPA G2P KMS Content Governance Publishing SOP v1.0</dc:title>
  <dc:subject>Unified NSIPA G2P Platform</dc:subject>
  <dc:creator>Swift Solution Pvt Ltd.</dc:creator>
  <cp:keywords>NSIPA, OpenG2P, UI UX, frontend, KMS</cp:keywords>
  <dc:description>generated by python-docx</dc:description>
  <cp:lastModifiedBy/>
  <cp:revision>1</cp:revision>
  <dcterms:created xsi:type="dcterms:W3CDTF">2013-12-23T23:15:00Z</dcterms:created>
  <dcterms:modified xsi:type="dcterms:W3CDTF">2013-12-23T23:15:00Z</dcterms:modified>
  <cp:category/>
</cp:coreProperties>
</file>