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UI UX and Frontend Delivery Standard Operating Procedure</w:t>
      </w:r>
    </w:p>
    <w:p>
      <w:pPr>
        <w:pStyle w:val="Subtitle"/>
      </w:pPr>
      <w:r>
        <w:t>Unified NSIPA G2P Platform</w:t>
      </w:r>
    </w:p>
    <w:p>
      <w:pPr>
        <w:spacing w:after="20"/>
      </w:pPr>
      <w:r>
        <w:rPr>
          <w:sz w:val="18"/>
        </w:rPr>
        <w:t>Process owner: To be nominated in the signed responsibility framework</w:t>
      </w:r>
    </w:p>
    <w:p>
      <w:pPr>
        <w:spacing w:after="20"/>
      </w:pPr>
      <w:r>
        <w:rPr>
          <w:sz w:val="18"/>
        </w:rPr>
        <w:t>Version 1.0 | 29 September 2026 | Proposed controlled procedure</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Document status</w:t>
            </w:r>
          </w:p>
        </w:tc>
        <w:tc>
          <w:tcPr>
            <w:tcW w:type="dxa" w:w="69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Approved use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Proposed SOP</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Operational use after approval and completion of project-specific roles and service times</w:t>
            </w:r>
          </w:p>
        </w:tc>
      </w:tr>
    </w:tbl>
    <w:p>
      <w:pPr>
        <w:spacing w:after="40"/>
      </w:pPr>
    </w:p>
    <w:p>
      <w:pPr>
        <w:pStyle w:val="Heading1"/>
      </w:pPr>
      <w:r>
        <w:t>1 Purpose</w:t>
      </w:r>
    </w:p>
    <w:p>
      <w:r>
        <w:t>This SOP defines the controlled procedure for converting an approved programme need into designed, coded, tested, accepted and handed-over frontend functionality. It applies to Swift-assigned React, Next.js or Odoo frontend work and to the associated design and implementation-assurance activities.</w:t>
      </w:r>
    </w:p>
    <w:p>
      <w:pPr>
        <w:pStyle w:val="Heading1"/>
      </w:pPr>
      <w:r>
        <w:t>2 Scope</w:t>
      </w:r>
    </w:p>
    <w:p>
      <w:pPr>
        <w:pStyle w:val="ListBullet"/>
        <w:spacing w:after="60"/>
      </w:pPr>
      <w:r>
        <w:t>User research, service and interaction design for approved workflows.</w:t>
      </w:r>
    </w:p>
    <w:p>
      <w:pPr>
        <w:pStyle w:val="ListBullet"/>
        <w:spacing w:after="60"/>
      </w:pPr>
      <w:r>
        <w:t>Design-system and reusable-component work.</w:t>
      </w:r>
    </w:p>
    <w:p>
      <w:pPr>
        <w:pStyle w:val="ListBullet"/>
        <w:spacing w:after="60"/>
      </w:pPr>
      <w:r>
        <w:t>Frontend development in expressly assigned repositories and applications.</w:t>
      </w:r>
    </w:p>
    <w:p>
      <w:pPr>
        <w:pStyle w:val="ListBullet"/>
        <w:spacing w:after="60"/>
      </w:pPr>
      <w:r>
        <w:t>API integration, testing, accessibility, UAT, release support and handover.</w:t>
      </w:r>
    </w:p>
    <w:p>
      <w:pPr>
        <w:pStyle w:val="ListBullet"/>
        <w:spacing w:after="60"/>
      </w:pPr>
      <w:r>
        <w:t>Change control for modifications to the approved baseline.</w:t>
      </w:r>
    </w:p>
    <w:p>
      <w:r>
        <w:t>Backend services, core OpenG2P modules, infrastructure and production operations are outside this SOP unless expressly assigned.</w:t>
      </w:r>
    </w:p>
    <w:p>
      <w:pPr>
        <w:pStyle w:val="Heading1"/>
      </w:pPr>
      <w:r>
        <w:t>3 Roles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Role</w:t>
            </w:r>
          </w:p>
        </w:tc>
        <w:tc>
          <w:tcPr>
            <w:tcW w:type="dxa" w:w="70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Responsibility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product owner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Approves programme intent, rules, language, priority and business acceptance.</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coordinator</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Coordinates schedule, decisions, dependencies, change control and consolidated stakeholder response.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lead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Confirms architecture, repositories, API contracts, security, environments, code review and deployment.</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experience lead</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Owns discovery, journeys, design quality, usability and design acceptance evidence.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frontend lead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Owns assigned implementation, engineering quality, tests, documentation and technical handover.</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QA and accessibility lead</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Maintains test evidence, defect classification, accessibility review and release-quality recommendation.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UAT authority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Coordinates authorised users and records accepted, rejected or conditionally accepted results.</w:t>
            </w:r>
          </w:p>
        </w:tc>
      </w:tr>
    </w:tbl>
    <w:p>
      <w:pPr>
        <w:spacing w:after="40"/>
      </w:pPr>
    </w:p>
    <w:p>
      <w:pPr>
        <w:pStyle w:val="Heading1"/>
      </w:pPr>
      <w:r>
        <w:t>4 Required records</w:t>
      </w:r>
    </w:p>
    <w:p>
      <w:pPr>
        <w:pStyle w:val="ListBullet"/>
        <w:spacing w:after="60"/>
      </w:pPr>
      <w:r>
        <w:t>Approved feature request or backlog item.</w:t>
      </w:r>
    </w:p>
    <w:p>
      <w:pPr>
        <w:pStyle w:val="ListBullet"/>
        <w:spacing w:after="60"/>
      </w:pPr>
      <w:r>
        <w:t>Business rule and content authority record.</w:t>
      </w:r>
    </w:p>
    <w:p>
      <w:pPr>
        <w:pStyle w:val="ListBullet"/>
        <w:spacing w:after="60"/>
      </w:pPr>
      <w:r>
        <w:t>Module, repository, API and environment baseline.</w:t>
      </w:r>
    </w:p>
    <w:p>
      <w:pPr>
        <w:pStyle w:val="ListBullet"/>
        <w:spacing w:after="60"/>
      </w:pPr>
      <w:r>
        <w:t>Journey, screen and state inventory.</w:t>
      </w:r>
    </w:p>
    <w:p>
      <w:pPr>
        <w:pStyle w:val="ListBullet"/>
        <w:spacing w:after="60"/>
      </w:pPr>
      <w:r>
        <w:t>Design decision and approval record.</w:t>
      </w:r>
    </w:p>
    <w:p>
      <w:pPr>
        <w:pStyle w:val="ListBullet"/>
        <w:spacing w:after="60"/>
      </w:pPr>
      <w:r>
        <w:t>Test plan, automated results, accessibility findings and defect register.</w:t>
      </w:r>
    </w:p>
    <w:p>
      <w:pPr>
        <w:pStyle w:val="ListBullet"/>
        <w:spacing w:after="60"/>
      </w:pPr>
      <w:r>
        <w:t>UAT record, release note and handover checklist.</w:t>
      </w:r>
    </w:p>
    <w:p>
      <w:pPr>
        <w:pStyle w:val="Heading1"/>
      </w:pPr>
      <w:r>
        <w:t>5 Procedure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Step</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Responsible</w:t>
            </w:r>
          </w:p>
        </w:tc>
        <w:tc>
          <w:tcPr>
            <w:tcW w:type="dxa" w:w="54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Procedure</w:t>
            </w:r>
          </w:p>
        </w:tc>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Exit evidence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 Intake and triage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and product owner</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Record objective, affected users, programme authority, urgency and requested release. Reject or return requests without an authorised owner.</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Prioritised request with owner and target release</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2 Baseline validation</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and Swift</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actual module, frontend, repository, branch, APIs, roles, state semantics, environments and constraints. Record demonstrated, planned and unavailable capability separately.</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or recorded baseline disposition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3 Discovery</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experience lead</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Observe or review representative tasks; map happy path, exceptions, help, accessibility, language, device and connectivity needs. Use minimal authorised data.</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Validated journey and evidence register</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4 UX definition</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experience lead</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Prepare information architecture, task flow, wireframes, interface copy and all relevant loading, empty, permission, error, timeout and recovery states.</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Reviewed low-fidelity design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5 Prototype and validation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with agency users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Create interactive prototype; test completion, comprehension and recovery with authorised representatives; record severity and response.</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design and validation findings</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6 Engineering readiness</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frontend lead and OORU</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component reuse, API contract or mock, data mapping, security, analytics, test cases, definition of done and branch/review rules.</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Sprint-ready backlog and test plan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7 Implementation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Assigned frontend engineers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Implement approved functionality; follow repository standards; protect PII; add tests; document material decisions and approved design differences.</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Review-ready pull request</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8 Code review and integration</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reviewers</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 architecture, security, maintainability, API behaviour, accessibility and tests. Resolve required findings before merge.</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and merged change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9 QA and accessibility</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QA and accessibility lead</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Run unit, component, integration, end-to-end, responsive, browser, keyboard, screen-reader and automated accessibility checks as applicable.</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Test report and defect disposition</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10 UAT</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UAT authority</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Run approved business scenarios using authorised test data; record pass, fail, conditional acceptance and evidence. New requirements follow change control.</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UAT record</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11 Release readiness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lead</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build, configuration, dependencies, release note, rollback, monitoring, unresolved risk and production approval.</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Release approval</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12 Deploy and verify</w:t>
            </w:r>
          </w:p>
        </w:tc>
        <w:tc>
          <w:tcPr>
            <w:tcW w:type="dxa" w:w="172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deployment owner</w:t>
            </w:r>
          </w:p>
        </w:tc>
        <w:tc>
          <w:tcPr>
            <w:tcW w:type="dxa" w:w="54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Deploy through approved pipeline; perform smoke tests; verify critical journeys, logs and rollback readiness; record release version.</w:t>
            </w:r>
          </w:p>
        </w:tc>
        <w:tc>
          <w:tcPr>
            <w:tcW w:type="dxa" w:w="201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Deployment and smoke-test record</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13 Handover and closure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and receiving owners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Transfer source, designs, tests, configuration guidance, known issues, runbooks and backlog; conduct walkthrough and close access according to policy.</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Handover acceptance and residual backlog</w:t>
            </w:r>
          </w:p>
        </w:tc>
      </w:tr>
    </w:tbl>
    <w:p>
      <w:pPr>
        <w:spacing w:after="40"/>
      </w:pPr>
    </w:p>
    <w:p>
      <w:pPr>
        <w:pStyle w:val="Heading1"/>
      </w:pPr>
      <w:r>
        <w:t>6 Definition of ready</w:t>
      </w:r>
    </w:p>
    <w:p>
      <w:pPr>
        <w:pStyle w:val="ListBullet"/>
        <w:spacing w:after="60"/>
      </w:pPr>
      <w:r>
        <w:t>Authorised product owner and technical owner are named.</w:t>
      </w:r>
    </w:p>
    <w:p>
      <w:pPr>
        <w:pStyle w:val="ListBullet"/>
        <w:spacing w:after="60"/>
      </w:pPr>
      <w:r>
        <w:t>Business rules, content and state meanings are approved or clearly marked as blocked.</w:t>
      </w:r>
    </w:p>
    <w:p>
      <w:pPr>
        <w:pStyle w:val="ListBullet"/>
        <w:spacing w:after="60"/>
      </w:pPr>
      <w:r>
        <w:t>Target module, repository, framework, branch and environment are confirmed.</w:t>
      </w:r>
    </w:p>
    <w:p>
      <w:pPr>
        <w:pStyle w:val="ListBullet"/>
        <w:spacing w:after="60"/>
      </w:pPr>
      <w:r>
        <w:t>API contract or approved mock and representative synthetic data are available.</w:t>
      </w:r>
    </w:p>
    <w:p>
      <w:pPr>
        <w:pStyle w:val="ListBullet"/>
        <w:spacing w:after="60"/>
      </w:pPr>
      <w:r>
        <w:t>Acceptance scenarios, supported devices and accessibility needs are defined.</w:t>
      </w:r>
    </w:p>
    <w:p>
      <w:pPr>
        <w:pStyle w:val="ListBullet"/>
        <w:spacing w:after="60"/>
      </w:pPr>
      <w:r>
        <w:t>Dependencies and exclusions are recorded.</w:t>
      </w:r>
    </w:p>
    <w:p>
      <w:pPr>
        <w:pStyle w:val="Heading1"/>
      </w:pPr>
      <w:r>
        <w:t>7 Definition of done</w:t>
      </w:r>
    </w:p>
    <w:p>
      <w:pPr>
        <w:pStyle w:val="ListBullet"/>
        <w:spacing w:after="60"/>
      </w:pPr>
      <w:r>
        <w:t>Implementation matches the approved design or documents an approved deviation.</w:t>
      </w:r>
    </w:p>
    <w:p>
      <w:pPr>
        <w:pStyle w:val="ListBullet"/>
        <w:spacing w:after="60"/>
      </w:pPr>
      <w:r>
        <w:t>Required automated and manual tests pass.</w:t>
      </w:r>
    </w:p>
    <w:p>
      <w:pPr>
        <w:pStyle w:val="ListBullet"/>
        <w:spacing w:after="60"/>
      </w:pPr>
      <w:r>
        <w:t>Critical and high defects are resolved or explicitly accepted by authorised owners.</w:t>
      </w:r>
    </w:p>
    <w:p>
      <w:pPr>
        <w:pStyle w:val="ListBullet"/>
        <w:spacing w:after="60"/>
      </w:pPr>
      <w:r>
        <w:t>Accessibility findings are resolved or have approved treatment and owner.</w:t>
      </w:r>
    </w:p>
    <w:p>
      <w:pPr>
        <w:pStyle w:val="ListBullet"/>
        <w:spacing w:after="60"/>
      </w:pPr>
      <w:r>
        <w:t>No sensitive data is exposed in UI, logs, analytics, fixtures or screenshots.</w:t>
      </w:r>
    </w:p>
    <w:p>
      <w:pPr>
        <w:pStyle w:val="ListBullet"/>
        <w:spacing w:after="60"/>
      </w:pPr>
      <w:r>
        <w:t>Documentation, release notes, source and editable design assets are current.</w:t>
      </w:r>
    </w:p>
    <w:p>
      <w:pPr>
        <w:pStyle w:val="ListBullet"/>
        <w:spacing w:after="60"/>
      </w:pPr>
      <w:r>
        <w:t>UAT and technical acceptance are recorded separately.</w:t>
      </w:r>
    </w:p>
    <w:p>
      <w:pPr>
        <w:pStyle w:val="Heading1"/>
      </w:pPr>
      <w:r>
        <w:t>8 Defect and exception handling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Situation</w:t>
            </w:r>
          </w:p>
        </w:tc>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action</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Business rule unclear</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Stop affected implementation and obtain the designated agency decision.</w:t>
            </w:r>
          </w:p>
        </w:tc>
      </w:tr>
      <w:tr>
        <w:tc>
          <w:tcPr>
            <w:tcW w:type="dxa" w:w="31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API unavailable or unstable</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an approved mock if authorised; do not represent mock behaviour as production capability.</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 conflicts with platform constraint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Record options, impact and approved deviation; update design and acceptance evidence.</w:t>
            </w:r>
          </w:p>
        </w:tc>
      </w:tr>
      <w:tr>
        <w:tc>
          <w:tcPr>
            <w:tcW w:type="dxa" w:w="31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Critical accessibility or security defect</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Block release until corrected or formally accepted through authorised risk procedure.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New requirement during UAT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Log as a change request; assess scope, schedule and commercial impact.</w:t>
            </w:r>
          </w:p>
        </w:tc>
      </w:tr>
      <w:tr>
        <w:tc>
          <w:tcPr>
            <w:tcW w:type="dxa" w:w="31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Production incident</w:t>
            </w:r>
          </w:p>
        </w:tc>
        <w:tc>
          <w:tcPr>
            <w:tcW w:type="dxa" w:w="676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Follow the approved incident and rollback process; preserve evidence and avoid exposing personal data.</w:t>
            </w:r>
          </w:p>
        </w:tc>
      </w:tr>
    </w:tbl>
    <w:p>
      <w:pPr>
        <w:spacing w:after="40"/>
      </w:pPr>
    </w:p>
    <w:p>
      <w:pPr>
        <w:pStyle w:val="Heading1"/>
      </w:pPr>
      <w:r>
        <w:t>9 Change and traceability controls</w:t>
      </w:r>
    </w:p>
    <w:p>
      <w:r>
        <w:t>Every production change must trace from an authorised request to business evidence, design, code change, tests, approval and release. The decision record must identify who approved any change to policy language, status meaning, accessibility treatment, API behaviour or scope quantity.</w:t>
      </w:r>
    </w:p>
    <w:p>
      <w:pPr>
        <w:pStyle w:val="Heading1"/>
      </w:pPr>
      <w:r>
        <w:t>10 Service-time schedule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Activity</w:t>
            </w:r>
          </w:p>
        </w:tc>
        <w:tc>
          <w:tcPr>
            <w:tcW w:type="dxa" w:w="34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Target service time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Authority to change</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Business clarification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and agency</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Technical clarification</w:t>
            </w:r>
          </w:p>
        </w:tc>
        <w:tc>
          <w:tcPr>
            <w:tcW w:type="dxa" w:w="34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Design review</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and OORU</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Pull-request review</w:t>
            </w:r>
          </w:p>
        </w:tc>
        <w:tc>
          <w:tcPr>
            <w:tcW w:type="dxa" w:w="34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and Swift technical leads</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UAT review</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UAT authority</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Defect response and correction</w:t>
            </w:r>
          </w:p>
        </w:tc>
        <w:tc>
          <w:tcPr>
            <w:tcW w:type="dxa" w:w="34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By agreed severity schedule</w:t>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Contracting parties</w:t>
            </w:r>
          </w:p>
        </w:tc>
      </w:tr>
    </w:tbl>
    <w:p>
      <w:pPr>
        <w:spacing w:after="40"/>
      </w:pPr>
    </w:p>
    <w:p>
      <w:pPr>
        <w:pStyle w:val="Heading1"/>
      </w:pPr>
      <w:r>
        <w:t>11 Approval and review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Approver</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Name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Signature and date</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product owner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process owner</w:t>
            </w:r>
          </w:p>
        </w:tc>
        <w:tc>
          <w:tcPr>
            <w:tcW w:type="dxa" w:w="37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owner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delivery owner</w:t>
            </w:r>
          </w:p>
        </w:tc>
        <w:tc>
          <w:tcPr>
            <w:tcW w:type="dxa" w:w="37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bl>
    <w:p>
      <w:pPr>
        <w:spacing w:after="40"/>
      </w:pPr>
    </w:p>
    <w:sectPr w:rsidR="00FC693F" w:rsidRPr="0006063C" w:rsidSect="00034616">
      <w:footerReference w:type="default" r:id="rId9"/>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SWIFT-NSIPA-SOP-UXFE  |  Version 1.0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NSIPA G2P UIUX Frontend Delivery SOP v1.0</dc:title>
  <dc:subject>Unified NSIPA G2P Platform</dc:subject>
  <dc:creator>Swift Solution Pvt Ltd.</dc:creator>
  <cp:keywords>NSIPA, OpenG2P, UI UX, frontend, KMS</cp:keywords>
  <dc:description>generated by python-docx</dc:description>
  <cp:lastModifiedBy/>
  <cp:revision>1</cp:revision>
  <dcterms:created xsi:type="dcterms:W3CDTF">2013-12-23T23:15:00Z</dcterms:created>
  <dcterms:modified xsi:type="dcterms:W3CDTF">2013-12-23T23:15:00Z</dcterms:modified>
  <cp:category/>
</cp:coreProperties>
</file>