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Phase 1 Knowledge Management Gap Assessment</w:t>
      </w:r>
    </w:p>
    <w:p>
      <w:pPr>
        <w:pStyle w:val="Subtitle"/>
      </w:pPr>
      <w:r>
        <w:t>Internal SOW negotiation and implementation planning paper</w:t>
      </w:r>
    </w:p>
    <w:p>
      <w:pPr>
        <w:spacing w:after="20"/>
      </w:pPr>
      <w:r>
        <w:rPr>
          <w:sz w:val="18"/>
        </w:rPr>
        <w:t>Unified NSIPA G2P Platform</w:t>
      </w:r>
    </w:p>
    <w:p>
      <w:pPr>
        <w:spacing w:after="20"/>
      </w:pPr>
      <w:r>
        <w:rPr>
          <w:sz w:val="18"/>
        </w:rPr>
        <w:t>Version 2.0 | 29 September 2026 | Swift Solution Pvt Ltd.</w:t>
      </w:r>
    </w:p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tblHeader w:val="true"/>
        </w:trPr>
        <w:tc>
          <w:tcPr>
            <w:tcW w:type="dxa" w:w="2880"/>
            <w:shd w:fill="17365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Document status</w:t>
            </w:r>
          </w:p>
        </w:tc>
        <w:tc>
          <w:tcPr>
            <w:tcW w:type="dxa" w:w="6912"/>
            <w:shd w:fill="17365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Approved use</w:t>
            </w:r>
          </w:p>
        </w:tc>
      </w:tr>
      <w:tr>
        <w:tc>
          <w:tcPr>
            <w:tcW w:type="dxa" w:w="28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Internal advisory document</w:t>
            </w:r>
          </w:p>
        </w:tc>
        <w:tc>
          <w:tcPr>
            <w:tcW w:type="dxa" w:w="69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Do not issue as a contractual commitment or approved government requirement</w:t>
            </w:r>
          </w:p>
        </w:tc>
      </w:tr>
    </w:tbl>
    <w:p>
      <w:pPr>
        <w:spacing w:after="40"/>
      </w:pPr>
    </w:p>
    <w:p>
      <w:pPr>
        <w:pStyle w:val="Heading1"/>
      </w:pPr>
      <w:r>
        <w:t>Executive conclusion</w:t>
      </w:r>
    </w:p>
    <w:p>
      <w:r>
        <w:t>The proposed KMS scope is suitable as a discovery, governance, contextual-help and continuity workstream, but it is not yet a complete production KMS commitment. The SOW must retain a technical decision gate, quantify all assets and integrations, assign government content authority and distinguish design acceptance from deployment acceptance.</w:t>
      </w:r>
    </w:p>
    <w:p>
      <w:r>
        <w:t>The primary SOW now incorporates the approved direction: operational knowledge mapping, institutional governance, contextual guidance, bounded content production, technical feasibility, data protection and continuity. This gap assessment should remain an internal control record.</w:t>
      </w:r>
    </w:p>
    <w:p>
      <w:pPr>
        <w:pStyle w:val="Heading1"/>
      </w:pPr>
      <w:r>
        <w:t>1 Confirmed strengths</w:t>
      </w:r>
    </w:p>
    <w:p>
      <w:pPr>
        <w:pStyle w:val="ListBullet"/>
        <w:spacing w:after="60"/>
      </w:pPr>
      <w:r>
        <w:t>OpenG2P is treated as modular rather than as one monolithic application.</w:t>
      </w:r>
    </w:p>
    <w:p>
      <w:pPr>
        <w:pStyle w:val="ListBullet"/>
        <w:spacing w:after="60"/>
      </w:pPr>
      <w:r>
        <w:t>No complete native OpenG2P KMS is assumed.</w:t>
      </w:r>
    </w:p>
    <w:p>
      <w:pPr>
        <w:pStyle w:val="ListBullet"/>
        <w:spacing w:after="60"/>
      </w:pPr>
      <w:r>
        <w:t>Government policy and content authority are separated from technical feasibility.</w:t>
      </w:r>
    </w:p>
    <w:p>
      <w:pPr>
        <w:pStyle w:val="ListBullet"/>
        <w:spacing w:after="60"/>
      </w:pPr>
      <w:r>
        <w:t>Contextual guidance and institutional capability are treated as related but distinct uses.</w:t>
      </w:r>
    </w:p>
    <w:p>
      <w:pPr>
        <w:pStyle w:val="ListBullet"/>
        <w:spacing w:after="60"/>
      </w:pPr>
      <w:r>
        <w:t>Production engineering, hosting, migration and national rollout require express allocation.</w:t>
      </w:r>
    </w:p>
    <w:p>
      <w:pPr>
        <w:pStyle w:val="Heading1"/>
      </w:pPr>
      <w:r>
        <w:t>2 Remaining decisions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98"/>
        <w:gridCol w:w="2498"/>
        <w:gridCol w:w="2498"/>
        <w:gridCol w:w="2498"/>
      </w:tblGrid>
      <w:tr>
        <w:trPr>
          <w:tblHeader w:val="true"/>
        </w:trPr>
        <w:tc>
          <w:tcPr>
            <w:tcW w:type="dxa" w:w="936"/>
            <w:shd w:fill="17365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type="dxa" w:w="4176"/>
            <w:shd w:fill="17365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Decision</w:t>
            </w:r>
          </w:p>
        </w:tc>
        <w:tc>
          <w:tcPr>
            <w:tcW w:type="dxa" w:w="2304"/>
            <w:shd w:fill="17365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Required owner</w:t>
            </w:r>
          </w:p>
        </w:tc>
        <w:tc>
          <w:tcPr>
            <w:tcW w:type="dxa" w:w="2520"/>
            <w:shd w:fill="17365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Risk if unresolved</w:t>
            </w:r>
          </w:p>
        </w:tc>
      </w:tr>
      <w:tr>
        <w:tc>
          <w:tcPr>
            <w:tcW w:type="dxa" w:w="9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K01</w:t>
            </w:r>
          </w:p>
        </w:tc>
        <w:tc>
          <w:tcPr>
            <w:tcW w:type="dxa" w:w="41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Selected programme, workflow, pilot sites, roles, channels and languages</w:t>
            </w:r>
          </w:p>
        </w:tc>
        <w:tc>
          <w:tcPr>
            <w:tcW w:type="dxa" w:w="230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PMO and agency</w:t>
            </w:r>
          </w:p>
        </w:tc>
        <w:tc>
          <w:tcPr>
            <w:tcW w:type="dxa" w:w="252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Unbounded content and design scope</w:t>
            </w:r>
          </w:p>
        </w:tc>
      </w:tr>
      <w:tr>
        <w:tc>
          <w:tcPr>
            <w:tcW w:type="dxa" w:w="936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K02</w:t>
            </w:r>
          </w:p>
        </w:tc>
        <w:tc>
          <w:tcPr>
            <w:tcW w:type="dxa" w:w="4176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Authoritative SOP, rule, public wording and exception owners</w:t>
            </w:r>
          </w:p>
        </w:tc>
        <w:tc>
          <w:tcPr>
            <w:tcW w:type="dxa" w:w="2304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Agency</w:t>
            </w:r>
          </w:p>
        </w:tc>
        <w:tc>
          <w:tcPr>
            <w:tcW w:type="dxa" w:w="2520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Incorrect or unauthorised guidance</w:t>
            </w:r>
          </w:p>
        </w:tc>
      </w:tr>
      <w:tr>
        <w:tc>
          <w:tcPr>
            <w:tcW w:type="dxa" w:w="9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K03</w:t>
            </w:r>
          </w:p>
        </w:tc>
        <w:tc>
          <w:tcPr>
            <w:tcW w:type="dxa" w:w="41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Repository, CMS, search, editorial workflow and analytics</w:t>
            </w:r>
          </w:p>
        </w:tc>
        <w:tc>
          <w:tcPr>
            <w:tcW w:type="dxa" w:w="230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OORU and agency</w:t>
            </w:r>
          </w:p>
        </w:tc>
        <w:tc>
          <w:tcPr>
            <w:tcW w:type="dxa" w:w="252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Architecture cannot progress to production</w:t>
            </w:r>
          </w:p>
        </w:tc>
      </w:tr>
      <w:tr>
        <w:tc>
          <w:tcPr>
            <w:tcW w:type="dxa" w:w="936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K04</w:t>
            </w:r>
          </w:p>
        </w:tc>
        <w:tc>
          <w:tcPr>
            <w:tcW w:type="dxa" w:w="4176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Identity, role and permission filters</w:t>
            </w:r>
          </w:p>
        </w:tc>
        <w:tc>
          <w:tcPr>
            <w:tcW w:type="dxa" w:w="2304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OORU and security owner</w:t>
            </w:r>
          </w:p>
        </w:tc>
        <w:tc>
          <w:tcPr>
            <w:tcW w:type="dxa" w:w="2520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Restricted or personal information exposure</w:t>
            </w:r>
          </w:p>
        </w:tc>
      </w:tr>
      <w:tr>
        <w:tc>
          <w:tcPr>
            <w:tcW w:type="dxa" w:w="9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K05</w:t>
            </w:r>
          </w:p>
        </w:tc>
        <w:tc>
          <w:tcPr>
            <w:tcW w:type="dxa" w:w="41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Contextual-help integration and actual workflow-state source</w:t>
            </w:r>
          </w:p>
        </w:tc>
        <w:tc>
          <w:tcPr>
            <w:tcW w:type="dxa" w:w="230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OORU</w:t>
            </w:r>
          </w:p>
        </w:tc>
        <w:tc>
          <w:tcPr>
            <w:tcW w:type="dxa" w:w="252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Guidance may be shown in the wrong context</w:t>
            </w:r>
          </w:p>
        </w:tc>
      </w:tr>
      <w:tr>
        <w:tc>
          <w:tcPr>
            <w:tcW w:type="dxa" w:w="936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K06</w:t>
            </w:r>
          </w:p>
        </w:tc>
        <w:tc>
          <w:tcPr>
            <w:tcW w:type="dxa" w:w="4176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Content, translation, review and training quantities</w:t>
            </w:r>
          </w:p>
        </w:tc>
        <w:tc>
          <w:tcPr>
            <w:tcW w:type="dxa" w:w="2304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Contracting parties</w:t>
            </w:r>
          </w:p>
        </w:tc>
        <w:tc>
          <w:tcPr>
            <w:tcW w:type="dxa" w:w="2520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Pricing and acceptance dispute</w:t>
            </w:r>
          </w:p>
        </w:tc>
      </w:tr>
      <w:tr>
        <w:tc>
          <w:tcPr>
            <w:tcW w:type="dxa" w:w="9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K07</w:t>
            </w:r>
          </w:p>
        </w:tc>
        <w:tc>
          <w:tcPr>
            <w:tcW w:type="dxa" w:w="41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Government knowledge operating unit and deputies</w:t>
            </w:r>
          </w:p>
        </w:tc>
        <w:tc>
          <w:tcPr>
            <w:tcW w:type="dxa" w:w="230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Agency</w:t>
            </w:r>
          </w:p>
        </w:tc>
        <w:tc>
          <w:tcPr>
            <w:tcW w:type="dxa" w:w="252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No sustainable stewardship</w:t>
            </w:r>
          </w:p>
        </w:tc>
      </w:tr>
      <w:tr>
        <w:tc>
          <w:tcPr>
            <w:tcW w:type="dxa" w:w="936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K08</w:t>
            </w:r>
          </w:p>
        </w:tc>
        <w:tc>
          <w:tcPr>
            <w:tcW w:type="dxa" w:w="4176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BOT receiving team and readiness test</w:t>
            </w:r>
          </w:p>
        </w:tc>
        <w:tc>
          <w:tcPr>
            <w:tcW w:type="dxa" w:w="2304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PMO and agency</w:t>
            </w:r>
          </w:p>
        </w:tc>
        <w:tc>
          <w:tcPr>
            <w:tcW w:type="dxa" w:w="2520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Handover cannot be accepted objectively</w:t>
            </w:r>
          </w:p>
        </w:tc>
      </w:tr>
      <w:tr>
        <w:tc>
          <w:tcPr>
            <w:tcW w:type="dxa" w:w="9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K09</w:t>
            </w:r>
          </w:p>
        </w:tc>
        <w:tc>
          <w:tcPr>
            <w:tcW w:type="dxa" w:w="41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DPIA, processing roles and approved data use</w:t>
            </w:r>
          </w:p>
        </w:tc>
        <w:tc>
          <w:tcPr>
            <w:tcW w:type="dxa" w:w="230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Government DPO and security</w:t>
            </w:r>
          </w:p>
        </w:tc>
        <w:tc>
          <w:tcPr>
            <w:tcW w:type="dxa" w:w="252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Regulatory and privacy exposure</w:t>
            </w:r>
          </w:p>
        </w:tc>
      </w:tr>
    </w:tbl>
    <w:p>
      <w:pPr>
        <w:spacing w:after="40"/>
      </w:pPr>
    </w:p>
    <w:p>
      <w:pPr>
        <w:pStyle w:val="Heading1"/>
      </w:pPr>
      <w:r>
        <w:t>3 Recommended bounded work packages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tblHeader w:val="true"/>
        </w:trPr>
        <w:tc>
          <w:tcPr>
            <w:tcW w:type="dxa" w:w="1080"/>
            <w:shd w:fill="17365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type="dxa" w:w="4320"/>
            <w:shd w:fill="17365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Work package</w:t>
            </w:r>
          </w:p>
        </w:tc>
        <w:tc>
          <w:tcPr>
            <w:tcW w:type="dxa" w:w="4536"/>
            <w:shd w:fill="17365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Acceptance artefact</w:t>
            </w:r>
          </w:p>
        </w:tc>
      </w:tr>
      <w:tr>
        <w:tc>
          <w:tcPr>
            <w:tcW w:type="dxa" w:w="10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KM-01</w:t>
            </w:r>
          </w:p>
        </w:tc>
        <w:tc>
          <w:tcPr>
            <w:tcW w:type="dxa" w:w="432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Evidence and operational knowledge baseline</w:t>
            </w:r>
          </w:p>
        </w:tc>
        <w:tc>
          <w:tcPr>
            <w:tcW w:type="dxa" w:w="45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Source, authority, workflow, exception, ownership and gap register</w:t>
            </w:r>
          </w:p>
        </w:tc>
      </w:tr>
      <w:tr>
        <w:tc>
          <w:tcPr>
            <w:tcW w:type="dxa" w:w="1080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KM-02</w:t>
            </w:r>
          </w:p>
        </w:tc>
        <w:tc>
          <w:tcPr>
            <w:tcW w:type="dxa" w:w="4320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Taxonomy and editorial governance</w:t>
            </w:r>
          </w:p>
        </w:tc>
        <w:tc>
          <w:tcPr>
            <w:tcW w:type="dxa" w:w="4536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Content model, templates, metadata, RACI and lifecycle</w:t>
            </w:r>
          </w:p>
        </w:tc>
      </w:tr>
      <w:tr>
        <w:tc>
          <w:tcPr>
            <w:tcW w:type="dxa" w:w="10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KM-03</w:t>
            </w:r>
          </w:p>
        </w:tc>
        <w:tc>
          <w:tcPr>
            <w:tcW w:type="dxa" w:w="432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Knowledge-enabled UX</w:t>
            </w:r>
          </w:p>
        </w:tc>
        <w:tc>
          <w:tcPr>
            <w:tcW w:type="dxa" w:w="45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Role and state-linked guidance prototype and source map</w:t>
            </w:r>
          </w:p>
        </w:tc>
      </w:tr>
      <w:tr>
        <w:tc>
          <w:tcPr>
            <w:tcW w:type="dxa" w:w="1080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KM-04</w:t>
            </w:r>
          </w:p>
        </w:tc>
        <w:tc>
          <w:tcPr>
            <w:tcW w:type="dxa" w:w="4320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Bounded content and capability assets</w:t>
            </w:r>
          </w:p>
        </w:tc>
        <w:tc>
          <w:tcPr>
            <w:tcW w:type="dxa" w:w="4536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Counted exemplar or production assets and role-capability matrix</w:t>
            </w:r>
          </w:p>
        </w:tc>
      </w:tr>
      <w:tr>
        <w:tc>
          <w:tcPr>
            <w:tcW w:type="dxa" w:w="10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KM-05</w:t>
            </w:r>
          </w:p>
        </w:tc>
        <w:tc>
          <w:tcPr>
            <w:tcW w:type="dxa" w:w="432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Technical requirement and feasibility</w:t>
            </w:r>
          </w:p>
        </w:tc>
        <w:tc>
          <w:tcPr>
            <w:tcW w:type="dxa" w:w="45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Existing, reuse, integrate, build, defer or incompatible disposition</w:t>
            </w:r>
          </w:p>
        </w:tc>
      </w:tr>
      <w:tr>
        <w:tc>
          <w:tcPr>
            <w:tcW w:type="dxa" w:w="1080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KM-06</w:t>
            </w:r>
          </w:p>
        </w:tc>
        <w:tc>
          <w:tcPr>
            <w:tcW w:type="dxa" w:w="4320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Validation and continuity</w:t>
            </w:r>
          </w:p>
        </w:tc>
        <w:tc>
          <w:tcPr>
            <w:tcW w:type="dxa" w:w="4536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Findings, backlog, operating model and handover-readiness record</w:t>
            </w:r>
          </w:p>
        </w:tc>
      </w:tr>
    </w:tbl>
    <w:p>
      <w:pPr>
        <w:spacing w:after="40"/>
      </w:pPr>
    </w:p>
    <w:p>
      <w:pPr>
        <w:pStyle w:val="Heading1"/>
      </w:pPr>
      <w:r>
        <w:t>4 Scope safeguards</w:t>
      </w:r>
    </w:p>
    <w:p>
      <w:pPr>
        <w:pStyle w:val="ListBullet"/>
        <w:spacing w:after="60"/>
      </w:pPr>
      <w:r>
        <w:t>No uncounted nationwide SOP, article, media, translation or training commitment.</w:t>
      </w:r>
    </w:p>
    <w:p>
      <w:pPr>
        <w:pStyle w:val="ListBullet"/>
        <w:spacing w:after="60"/>
      </w:pPr>
      <w:r>
        <w:t>No product name becomes the approved KMS until security, workflow, hosting and operating ownership are confirmed.</w:t>
      </w:r>
    </w:p>
    <w:p>
      <w:pPr>
        <w:pStyle w:val="ListBullet"/>
        <w:spacing w:after="60"/>
      </w:pPr>
      <w:r>
        <w:t>No contextual guidance integration is committed without an approved role and state mechanism.</w:t>
      </w:r>
    </w:p>
    <w:p>
      <w:pPr>
        <w:pStyle w:val="ListBullet"/>
        <w:spacing w:after="60"/>
      </w:pPr>
      <w:r>
        <w:t>No AI search, assistant or drafting service enters production without separate approval, evaluation and access controls.</w:t>
      </w:r>
    </w:p>
    <w:p>
      <w:pPr>
        <w:pStyle w:val="ListBullet"/>
        <w:spacing w:after="60"/>
      </w:pPr>
      <w:r>
        <w:t>No technical runbook is accepted as accurate unless authored or approved by the responsible engineering owner.</w:t>
      </w:r>
    </w:p>
    <w:p>
      <w:pPr>
        <w:pStyle w:val="Heading1"/>
      </w:pPr>
      <w:r>
        <w:t>5 Disposition into issue package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tblHeader w:val="true"/>
        </w:trPr>
        <w:tc>
          <w:tcPr>
            <w:tcW w:type="dxa" w:w="4608"/>
            <w:shd w:fill="17365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Gap-assessment output</w:t>
            </w:r>
          </w:p>
        </w:tc>
        <w:tc>
          <w:tcPr>
            <w:tcW w:type="dxa" w:w="5328"/>
            <w:shd w:fill="17365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Disposition</w:t>
            </w:r>
          </w:p>
        </w:tc>
      </w:tr>
      <w:tr>
        <w:tc>
          <w:tcPr>
            <w:tcW w:type="dxa" w:w="460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Discovery and authority controls</w:t>
            </w:r>
          </w:p>
        </w:tc>
        <w:tc>
          <w:tcPr>
            <w:tcW w:type="dxa" w:w="532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Included in SOW WP-01 and WP-02</w:t>
            </w:r>
          </w:p>
        </w:tc>
      </w:tr>
      <w:tr>
        <w:tc>
          <w:tcPr>
            <w:tcW w:type="dxa" w:w="4608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Contextual knowledge</w:t>
            </w:r>
          </w:p>
        </w:tc>
        <w:tc>
          <w:tcPr>
            <w:tcW w:type="dxa" w:w="5328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Included in SOW UI UX KMS scope and KMS SOP</w:t>
            </w:r>
          </w:p>
        </w:tc>
      </w:tr>
      <w:tr>
        <w:tc>
          <w:tcPr>
            <w:tcW w:type="dxa" w:w="460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Institutional stewardship and BOT</w:t>
            </w:r>
          </w:p>
        </w:tc>
        <w:tc>
          <w:tcPr>
            <w:tcW w:type="dxa" w:w="532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Included in SOW handover and KMS SOP</w:t>
            </w:r>
          </w:p>
        </w:tc>
      </w:tr>
      <w:tr>
        <w:tc>
          <w:tcPr>
            <w:tcW w:type="dxa" w:w="4608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Frontend engineering clarity</w:t>
            </w:r>
          </w:p>
        </w:tc>
        <w:tc>
          <w:tcPr>
            <w:tcW w:type="dxa" w:w="5328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Added as explicit SOW work package</w:t>
            </w:r>
          </w:p>
        </w:tc>
      </w:tr>
      <w:tr>
        <w:tc>
          <w:tcPr>
            <w:tcW w:type="dxa" w:w="460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Data protection</w:t>
            </w:r>
          </w:p>
        </w:tc>
        <w:tc>
          <w:tcPr>
            <w:tcW w:type="dxa" w:w="532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Added as SOW security and privacy schedule requirement</w:t>
            </w:r>
          </w:p>
        </w:tc>
      </w:tr>
      <w:tr>
        <w:tc>
          <w:tcPr>
            <w:tcW w:type="dxa" w:w="4608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Production KMS product selection</w:t>
            </w:r>
          </w:p>
        </w:tc>
        <w:tc>
          <w:tcPr>
            <w:tcW w:type="dxa" w:w="5328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Remains a baseline decision gate</w:t>
            </w:r>
          </w:p>
        </w:tc>
      </w:tr>
    </w:tbl>
    <w:p>
      <w:pPr>
        <w:spacing w:after="40"/>
      </w:pPr>
    </w:p>
    <w:p>
      <w:pPr>
        <w:pStyle w:val="Heading1"/>
      </w:pPr>
      <w:r>
        <w:t>6 Internal approval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tblHeader w:val="true"/>
        </w:trPr>
        <w:tc>
          <w:tcPr>
            <w:tcW w:type="dxa" w:w="3456"/>
            <w:shd w:fill="17365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Reviewer</w:t>
            </w:r>
          </w:p>
        </w:tc>
        <w:tc>
          <w:tcPr>
            <w:tcW w:type="dxa" w:w="4464"/>
            <w:shd w:fill="17365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Disposition</w:t>
            </w:r>
          </w:p>
        </w:tc>
        <w:tc>
          <w:tcPr>
            <w:tcW w:type="dxa" w:w="2016"/>
            <w:shd w:fill="17365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Date</w:t>
            </w:r>
          </w:p>
        </w:tc>
      </w:tr>
      <w:tr>
        <w:tc>
          <w:tcPr>
            <w:tcW w:type="dxa" w:w="345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Swift delivery owner</w:t>
            </w:r>
          </w:p>
        </w:tc>
        <w:tc>
          <w:tcPr>
            <w:tcW w:type="dxa" w:w="446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</w:r>
          </w:p>
        </w:tc>
        <w:tc>
          <w:tcPr>
            <w:tcW w:type="dxa" w:w="201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</w:r>
          </w:p>
        </w:tc>
      </w:tr>
      <w:tr>
        <w:tc>
          <w:tcPr>
            <w:tcW w:type="dxa" w:w="3456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Swift KM lead</w:t>
            </w:r>
          </w:p>
        </w:tc>
        <w:tc>
          <w:tcPr>
            <w:tcW w:type="dxa" w:w="4464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</w:r>
          </w:p>
        </w:tc>
        <w:tc>
          <w:tcPr>
            <w:tcW w:type="dxa" w:w="2016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</w:r>
          </w:p>
        </w:tc>
      </w:tr>
      <w:tr>
        <w:tc>
          <w:tcPr>
            <w:tcW w:type="dxa" w:w="345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Swift frontend lead</w:t>
            </w:r>
          </w:p>
        </w:tc>
        <w:tc>
          <w:tcPr>
            <w:tcW w:type="dxa" w:w="446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</w:r>
          </w:p>
        </w:tc>
        <w:tc>
          <w:tcPr>
            <w:tcW w:type="dxa" w:w="201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</w:r>
          </w:p>
        </w:tc>
      </w:tr>
    </w:tbl>
    <w:p>
      <w:pPr>
        <w:spacing w:after="40"/>
      </w:pPr>
    </w:p>
    <w:sectPr w:rsidR="00FC693F" w:rsidRPr="0006063C" w:rsidSect="00034616">
      <w:footerReference w:type="default" r:id="rId9"/>
      <w:pgSz w:w="12240" w:h="15840"/>
      <w:pgMar w:top="1008" w:right="1123" w:bottom="1008" w:left="1123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color w:val="595959"/>
        <w:sz w:val="16"/>
      </w:rPr>
      <w:t>SWIFT-NSIPA-KMS-GAP  |  Version 2.0  |  Controlled document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Aptos" w:hAnsi="Aptos"/>
      <w:color w:val="00000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 w:after="8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6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200" w:line="240" w:lineRule="auto" w:before="0"/>
      <w:contextualSpacing/>
    </w:pPr>
    <w:rPr>
      <w:rFonts w:asciiTheme="majorHAnsi" w:eastAsiaTheme="majorEastAsia" w:hAnsiTheme="majorHAnsi" w:cstheme="majorBidi" w:ascii="Aptos Display" w:hAnsi="Aptos Display"/>
      <w:b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before="0" w:after="200"/>
    </w:pPr>
    <w:rPr>
      <w:rFonts w:asciiTheme="majorHAnsi" w:eastAsiaTheme="majorEastAsia" w:hAnsiTheme="majorHAnsi" w:cstheme="majorBidi" w:ascii="Aptos Display" w:hAnsi="Aptos Display"/>
      <w:b w:val="0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Nigeria G2P Phase1 KMS Gap Assessment Internal v2.0</dc:title>
  <dc:subject>Unified NSIPA G2P Platform</dc:subject>
  <dc:creator>Swift Solution Pvt Ltd.</dc:creator>
  <cp:keywords>NSIPA, OpenG2P, UI UX, frontend, KMS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