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Unified NSIPA G2P Joint Execution and Responsibility Framework</w:t>
      </w:r>
    </w:p>
    <w:p>
      <w:pPr>
        <w:pStyle w:val="Subtitle"/>
      </w:pPr>
      <w:r>
        <w:t>UI UX Frontend Engineering and Knowledge Management</w:t>
      </w:r>
    </w:p>
    <w:p>
      <w:pPr>
        <w:spacing w:after="20"/>
      </w:pPr>
      <w:r>
        <w:rPr>
          <w:sz w:val="18"/>
        </w:rPr>
        <w:t>Issued by Swift Solution Pvt Ltd.</w:t>
      </w:r>
    </w:p>
    <w:p>
      <w:pPr>
        <w:spacing w:after="20"/>
      </w:pPr>
      <w:r>
        <w:rPr>
          <w:sz w:val="18"/>
        </w:rPr>
        <w:t>Version 2.0 | 29 September 2026 | Proposed for confirmation with PMO OORU and designated agencies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691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Approved use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 responsibility annex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Becomes binding only when incorporated into the signed SOW or working agreement</w:t>
            </w:r>
          </w:p>
        </w:tc>
      </w:tr>
    </w:tbl>
    <w:p>
      <w:pPr>
        <w:spacing w:after="40"/>
      </w:pPr>
    </w:p>
    <w:p>
      <w:pPr>
        <w:pStyle w:val="Heading1"/>
      </w:pPr>
      <w:r>
        <w:t>1 Purpose</w:t>
      </w:r>
    </w:p>
    <w:p>
      <w:r>
        <w:t>This framework defines the proposed division of programme authority, technical authority, experience and frontend delivery, knowledge governance, acceptance and release responsibilities. It does not allocate work merely because a party attended a meeting or demonstrated a component.</w:t>
      </w:r>
    </w:p>
    <w:p>
      <w:pPr>
        <w:pStyle w:val="Heading1"/>
      </w:pPr>
      <w:r>
        <w:t>2 Operating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8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handoff or decision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 Programme truth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Designated agencies confirm policy, rules, procedures, exceptions, roles and approved public or staff content.</w:t>
            </w:r>
          </w:p>
        </w:tc>
      </w:tr>
      <w:tr>
        <w:tc>
          <w:tcPr>
            <w:tcW w:type="dxa" w:w="208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 Platform truth</w:t>
            </w:r>
          </w:p>
        </w:tc>
        <w:tc>
          <w:tcPr>
            <w:tcW w:type="dxa" w:w="784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confirms deployed modules, repositories, frontend frameworks, interfaces, permissions, environments and supported extension paths.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 Experience and knowledge baseline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translates approved evidence into journeys, designs, coded-component requirements, knowledge requirements and acceptance tests.</w:t>
            </w:r>
          </w:p>
        </w:tc>
      </w:tr>
      <w:tr>
        <w:tc>
          <w:tcPr>
            <w:tcW w:type="dxa" w:w="208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 Frontend implementation</w:t>
            </w:r>
          </w:p>
        </w:tc>
        <w:tc>
          <w:tcPr>
            <w:tcW w:type="dxa" w:w="784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implements only the applications and components assigned in the SOW; other engineering owners implement their allocated components.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 Integration and release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or the named technical owner integrates, reviews and deploys according to the approved environment and release model.</w:t>
            </w:r>
          </w:p>
        </w:tc>
      </w:tr>
      <w:tr>
        <w:tc>
          <w:tcPr>
            <w:tcW w:type="dxa" w:w="208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 Acceptance and continuity</w:t>
            </w:r>
          </w:p>
        </w:tc>
        <w:tc>
          <w:tcPr>
            <w:tcW w:type="dxa" w:w="784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 accepts business and content behaviour; technical owner accepts code and deployment; Swift completes agreed handover.</w:t>
            </w:r>
          </w:p>
        </w:tc>
      </w:tr>
    </w:tbl>
    <w:p>
      <w:pPr>
        <w:spacing w:after="40"/>
      </w:pPr>
    </w:p>
    <w:p>
      <w:pPr>
        <w:pStyle w:val="Heading1"/>
      </w:pPr>
      <w:r>
        <w:t>3 Workstream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432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Swift responsibility</w:t>
            </w:r>
          </w:p>
        </w:tc>
        <w:tc>
          <w:tcPr>
            <w:tcW w:type="dxa" w:w="36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Boundary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UI and UX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Research, service design, prototypes, design system, testing and implementation assurance.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 and technical capability remain owned by the authorised sources.</w:t>
            </w:r>
          </w:p>
        </w:tc>
      </w:tr>
      <w:tr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Frontend engineering</w:t>
            </w:r>
          </w:p>
        </w:tc>
        <w:tc>
          <w:tcPr>
            <w:tcW w:type="dxa" w:w="43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Assigned React, Next.js or Odoo frontend code, components, integrations, tests and documentation.</w:t>
            </w:r>
          </w:p>
        </w:tc>
        <w:tc>
          <w:tcPr>
            <w:tcW w:type="dxa" w:w="367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Only named repositories, modules and releases are included.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Knowledge management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Knowledge discovery, taxonomy, governance, contextual-help design, bounded assets and transfer framework.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Government owns authoritative content; platform owner confirms technical service.</w:t>
            </w:r>
          </w:p>
        </w:tc>
      </w:tr>
      <w:tr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Developer onboarding</w:t>
            </w:r>
          </w:p>
        </w:tc>
        <w:tc>
          <w:tcPr>
            <w:tcW w:type="dxa" w:w="432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Agreed internal enablement when separately scheduled.</w:t>
            </w:r>
          </w:p>
        </w:tc>
        <w:tc>
          <w:tcPr>
            <w:tcW w:type="dxa" w:w="367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Does not replace government-facing institutional KM.</w:t>
            </w:r>
          </w:p>
        </w:tc>
      </w:tr>
    </w:tbl>
    <w:p>
      <w:pPr>
        <w:spacing w:after="40"/>
      </w:pPr>
    </w:p>
    <w:p>
      <w:pPr>
        <w:pStyle w:val="Heading1"/>
      </w:pPr>
      <w:r>
        <w:t>4 RACI matrix</w:t>
      </w:r>
    </w:p>
    <w:p>
      <w:r>
        <w:t>R = Responsible, A = Accountable, C = Consulted, I = Informed. Each row requires one accountable authority before the related work begins.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40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Agency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PMO</w:t>
            </w:r>
          </w:p>
        </w:tc>
        <w:tc>
          <w:tcPr>
            <w:tcW w:type="dxa" w:w="12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OORU</w:t>
            </w:r>
          </w:p>
        </w:tc>
        <w:tc>
          <w:tcPr>
            <w:tcW w:type="dxa" w:w="194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Swift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programme workflow and rules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Confirm deployed technical baseline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scope quantities and release priority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Conduct UX and KM discovery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journeys and beneficiary or staff language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frontend architecture and repository rules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 Swift-assigned frontend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Implement other platform components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authoritative knowledge content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Run code review integration and deployment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 for assigned code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Conduct UAT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 support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Accept technical release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production release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  <w:tr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Operate knowledge publishing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 or bounded support</w:t>
            </w:r>
          </w:p>
        </w:tc>
      </w:tr>
      <w:tr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Maintain change and decision register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A/R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</w:tr>
    </w:tbl>
    <w:p>
      <w:pPr>
        <w:spacing w:after="40"/>
      </w:pPr>
    </w:p>
    <w:p>
      <w:pPr>
        <w:pStyle w:val="Heading1"/>
      </w:pPr>
      <w:r>
        <w:t>5 Decision and approval rights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88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04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Authorised approval</w:t>
            </w:r>
          </w:p>
        </w:tc>
      </w:tr>
      <w:t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Policy, eligibility, operating procedures and public guidance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Designated programme or agency authority</w:t>
            </w:r>
          </w:p>
        </w:tc>
      </w:tr>
      <w:tr>
        <w:tc>
          <w:tcPr>
            <w:tcW w:type="dxa" w:w="388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OpenG2P capability, repository, API and integration feasibility</w:t>
            </w:r>
          </w:p>
        </w:tc>
        <w:tc>
          <w:tcPr>
            <w:tcW w:type="dxa" w:w="604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or named platform technical authority</w:t>
            </w:r>
          </w:p>
        </w:tc>
      </w:tr>
      <w:t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UX journey and content comprehension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 product owner, informed by Swift validation and OORU feasibility</w:t>
            </w:r>
          </w:p>
        </w:tc>
      </w:tr>
      <w:tr>
        <w:tc>
          <w:tcPr>
            <w:tcW w:type="dxa" w:w="388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Frontend code acceptance</w:t>
            </w:r>
          </w:p>
        </w:tc>
        <w:tc>
          <w:tcPr>
            <w:tcW w:type="dxa" w:w="604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Named repository or technical owner under agreed review rules</w:t>
            </w:r>
          </w:p>
        </w:tc>
      </w:tr>
      <w:t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KMS taxonomy and publication controls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Designated agency knowledge or process owner</w:t>
            </w:r>
          </w:p>
        </w:tc>
      </w:tr>
      <w:tr>
        <w:tc>
          <w:tcPr>
            <w:tcW w:type="dxa" w:w="388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Scope, release and commercial change</w:t>
            </w:r>
          </w:p>
        </w:tc>
        <w:tc>
          <w:tcPr>
            <w:tcW w:type="dxa" w:w="604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Authorised contracting parties coordinated by PMO</w:t>
            </w:r>
          </w:p>
        </w:tc>
      </w:tr>
      <w:tr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Production readiness</w:t>
            </w:r>
          </w:p>
        </w:tc>
        <w:tc>
          <w:tcPr>
            <w:tcW w:type="dxa" w:w="60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Named technical operator and authorised programme owner</w:t>
            </w:r>
          </w:p>
        </w:tc>
      </w:tr>
    </w:tbl>
    <w:p>
      <w:pPr>
        <w:spacing w:after="40"/>
      </w:pPr>
    </w:p>
    <w:p>
      <w:pPr>
        <w:pStyle w:val="Heading1"/>
      </w:pPr>
      <w:r>
        <w:t>6 Progressive execution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53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Lead and sign-off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G0 Prioritise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Selected workflow, scope boundary, participants and open dependencies.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PMO coordinates; agency authorises</w:t>
            </w:r>
          </w:p>
        </w:tc>
      </w:tr>
      <w:tr>
        <w:tc>
          <w:tcPr>
            <w:tcW w:type="dxa" w:w="158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G1 Baseline</w:t>
            </w:r>
          </w:p>
        </w:tc>
        <w:tc>
          <w:tcPr>
            <w:tcW w:type="dxa" w:w="532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Actual modules, frontend, APIs, repositories, environments and business states.</w:t>
            </w:r>
          </w:p>
        </w:tc>
        <w:tc>
          <w:tcPr>
            <w:tcW w:type="dxa" w:w="30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technical; agency business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G2 Design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Journeys, prototype, component and knowledge requirements, acceptance tests.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produces; agency and OORU review</w:t>
            </w:r>
          </w:p>
        </w:tc>
      </w:tr>
      <w:tr>
        <w:tc>
          <w:tcPr>
            <w:tcW w:type="dxa" w:w="158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G3 Engineering ready</w:t>
            </w:r>
          </w:p>
        </w:tc>
        <w:tc>
          <w:tcPr>
            <w:tcW w:type="dxa" w:w="532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Approved backlog, stable contracts or mocks, responsibilities and test plan.</w:t>
            </w:r>
          </w:p>
        </w:tc>
        <w:tc>
          <w:tcPr>
            <w:tcW w:type="dxa" w:w="30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 and Swift technical leads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G4 Implement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Reviewed code, tests, design assurance and defect disposition.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Assigned engineering owner</w:t>
            </w:r>
          </w:p>
        </w:tc>
      </w:tr>
      <w:tr>
        <w:tc>
          <w:tcPr>
            <w:tcW w:type="dxa" w:w="158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G5 Accept</w:t>
            </w:r>
          </w:p>
        </w:tc>
        <w:tc>
          <w:tcPr>
            <w:tcW w:type="dxa" w:w="532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UAT, technical acceptance, content approval and release decision.</w:t>
            </w:r>
          </w:p>
        </w:tc>
        <w:tc>
          <w:tcPr>
            <w:tcW w:type="dxa" w:w="302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 and OORU</w:t>
            </w:r>
          </w:p>
        </w:tc>
      </w:tr>
      <w:t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G6 Transfer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Source, runbooks, controlled content, training and receiving-team record.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Named operating owners</w:t>
            </w:r>
          </w:p>
        </w:tc>
      </w:tr>
    </w:tbl>
    <w:p>
      <w:pPr>
        <w:spacing w:after="40"/>
      </w:pPr>
    </w:p>
    <w:p>
      <w:pPr>
        <w:pStyle w:val="Heading1"/>
      </w:pPr>
      <w:r>
        <w:t>7 Collaboration and information controls</w:t>
      </w:r>
    </w:p>
    <w:p>
      <w:pPr>
        <w:pStyle w:val="ListBullet"/>
        <w:spacing w:after="60"/>
      </w:pPr>
      <w:r>
        <w:t>Use the approved shared repositories and environments; do not create ungoverned production forks.</w:t>
      </w:r>
    </w:p>
    <w:p>
      <w:pPr>
        <w:pStyle w:val="ListBullet"/>
        <w:spacing w:after="60"/>
      </w:pPr>
      <w:r>
        <w:t>Use synthetic or authorised masked data for design, engineering and demonstrations.</w:t>
      </w:r>
    </w:p>
    <w:p>
      <w:pPr>
        <w:pStyle w:val="ListBullet"/>
        <w:spacing w:after="60"/>
      </w:pPr>
      <w:r>
        <w:t>Record repository access, branch protection, pull-request reviewers and release permissions.</w:t>
      </w:r>
    </w:p>
    <w:p>
      <w:pPr>
        <w:pStyle w:val="ListBullet"/>
        <w:spacing w:after="60"/>
      </w:pPr>
      <w:r>
        <w:t>Treat Nigeria-specific schema, status and workflow decisions as open until approved by the named authority.</w:t>
      </w:r>
    </w:p>
    <w:p>
      <w:pPr>
        <w:pStyle w:val="ListBullet"/>
        <w:spacing w:after="60"/>
      </w:pPr>
      <w:r>
        <w:t>Do not expose beneficiary data through design tools, logs, analytics or AI systems without documented approval.</w:t>
      </w:r>
    </w:p>
    <w:p>
      <w:pPr>
        <w:pStyle w:val="ListBullet"/>
        <w:spacing w:after="60"/>
      </w:pPr>
      <w:r>
        <w:t>Maintain one decision, dependency, risk, change and defect record accessible to the authorised parties.</w:t>
      </w:r>
    </w:p>
    <w:p>
      <w:pPr>
        <w:pStyle w:val="Heading1"/>
      </w:pPr>
      <w:r>
        <w:t>8 Confirmation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6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Decision required</w:t>
            </w:r>
          </w:p>
        </w:tc>
        <w:tc>
          <w:tcPr>
            <w:tcW w:type="dxa" w:w="23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87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Due date and status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C01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Select priority programme and workflow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PMO and agency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00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C02</w:t>
            </w:r>
          </w:p>
        </w:tc>
        <w:tc>
          <w:tcPr>
            <w:tcW w:type="dxa" w:w="46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module frontend and repository schedule</w:t>
            </w:r>
          </w:p>
        </w:tc>
        <w:tc>
          <w:tcPr>
            <w:tcW w:type="dxa" w:w="23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</w:t>
            </w:r>
          </w:p>
        </w:tc>
        <w:tc>
          <w:tcPr>
            <w:tcW w:type="dxa" w:w="187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C03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Nigeria data fields validation and status semantics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00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C04</w:t>
            </w:r>
          </w:p>
        </w:tc>
        <w:tc>
          <w:tcPr>
            <w:tcW w:type="dxa" w:w="46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Allocate Swift and OORU engineering responsibilities</w:t>
            </w:r>
          </w:p>
        </w:tc>
        <w:tc>
          <w:tcPr>
            <w:tcW w:type="dxa" w:w="23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Contracting parties</w:t>
            </w:r>
          </w:p>
        </w:tc>
        <w:tc>
          <w:tcPr>
            <w:tcW w:type="dxa" w:w="187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C05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KMS repository publishing and operating owner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Agency PMO and OORU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00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C06</w:t>
            </w:r>
          </w:p>
        </w:tc>
        <w:tc>
          <w:tcPr>
            <w:tcW w:type="dxa" w:w="46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acceptance authorities and release process</w:t>
            </w:r>
          </w:p>
        </w:tc>
        <w:tc>
          <w:tcPr>
            <w:tcW w:type="dxa" w:w="237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PMO agency and OORU</w:t>
            </w:r>
          </w:p>
        </w:tc>
        <w:tc>
          <w:tcPr>
            <w:tcW w:type="dxa" w:w="187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C07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Approve data protection security and environment controls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Government security and DPO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9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Party</w:t>
            </w:r>
          </w:p>
        </w:tc>
        <w:tc>
          <w:tcPr>
            <w:tcW w:type="dxa" w:w="40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Name and title</w:t>
            </w:r>
          </w:p>
        </w:tc>
        <w:tc>
          <w:tcPr>
            <w:tcW w:type="dxa" w:w="288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Signature and date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Designated agency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PMO</w:t>
            </w:r>
          </w:p>
        </w:tc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OORU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Swift Solution Pvt Ltd.</w:t>
            </w:r>
          </w:p>
        </w:tc>
        <w:tc>
          <w:tcPr>
            <w:tcW w:type="dxa" w:w="403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80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6"/>
      </w:rPr>
      <w:t>SWIFT-NSIPA-RACI  |  Version 2.0  | 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NSIPA G2P Joint Execution Responsibility Framework v2.0</dc:title>
  <dc:subject>Unified NSIPA G2P Platform</dc:subject>
  <dc:creator>Swift Solution Pvt Ltd.</dc:creator>
  <cp:keywords>NSIPA, OpenG2P, UI UX, frontend, KMS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