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Unified NSIPA G2P Platform Statement of Work Scope</w:t>
      </w:r>
    </w:p>
    <w:p>
      <w:pPr>
        <w:pStyle w:val="Subtitle"/>
      </w:pPr>
      <w:r>
        <w:t>UI UX Design Frontend Engineering and Knowledge Management Services</w:t>
      </w:r>
    </w:p>
    <w:p>
      <w:pPr>
        <w:spacing w:after="20"/>
      </w:pPr>
      <w:r>
        <w:rPr>
          <w:sz w:val="18"/>
        </w:rPr>
        <w:t>Prepared for the Unified NSIPA G2P Platform programme team</w:t>
      </w:r>
    </w:p>
    <w:p>
      <w:pPr>
        <w:spacing w:after="20"/>
      </w:pPr>
      <w:r>
        <w:rPr>
          <w:sz w:val="18"/>
        </w:rPr>
        <w:t>Prepared by Swift Solution Pvt Ltd.</w:t>
      </w:r>
    </w:p>
    <w:p>
      <w:pPr>
        <w:spacing w:after="20"/>
      </w:pPr>
      <w:r>
        <w:rPr>
          <w:sz w:val="18"/>
        </w:rPr>
        <w:t>Version 4.0 | 29 September 2026 | Proposed for PMO OORU and agency approval</w:t>
      </w:r>
    </w:p>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Document status</w:t>
            </w:r>
          </w:p>
        </w:tc>
        <w:tc>
          <w:tcPr>
            <w:tcW w:type="dxa" w:w="6912"/>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Approved use</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Controlled proposal for SOW drafting and signature</w:t>
            </w:r>
          </w:p>
        </w:tc>
        <w:tc>
          <w:tcPr>
            <w:tcW w:type="dxa" w:w="691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External issue after completion of the baseline and approval schedules</w:t>
            </w:r>
          </w:p>
        </w:tc>
      </w:tr>
    </w:tbl>
    <w:p>
      <w:pPr>
        <w:spacing w:after="40"/>
      </w:pPr>
    </w:p>
    <w:p>
      <w:pPr>
        <w:pStyle w:val="Heading1"/>
      </w:pPr>
      <w:r>
        <w:t>Executive position</w:t>
      </w:r>
    </w:p>
    <w:p>
      <w:r>
        <w:t>Swift Solution proposes a controlled Phase 1 engagement covering user experience design, production frontend engineering for expressly assigned applications, and knowledge management design and enablement. Delivery will be based on the OpenG2P packages, repositories and extension paths actually selected for Nigeria. No document, demonstration or architecture diagram substitutes for the signed technical baseline.</w:t>
      </w:r>
    </w:p>
    <w:p>
      <w:r>
        <w:t>The engagement will begin with one approved end-to-end workflow and a defined pilot. Further modules, roles, channels, languages, screens, integrations and knowledge assets will be added only through an approved release baseline or change request.</w:t>
      </w:r>
    </w:p>
    <w:p>
      <w:r>
        <w:rPr>
          <w:b/>
        </w:rPr>
        <w:t>Contractual outcome.</w:t>
      </w:r>
      <w:r>
        <w:t xml:space="preserve"> The SOW must identify the exact frontend applications and repositories assigned to Swift, the approved design and engineering quantities, the API and environment dependencies, and the authorities for design, code, security, UAT and production acceptance.</w:t>
      </w:r>
    </w:p>
    <w:p>
      <w:pPr>
        <w:pStyle w:val="Heading1"/>
      </w:pPr>
      <w:r>
        <w:t>Contents</w:t>
      </w:r>
    </w:p>
    <w:p>
      <w:r>
        <w:fldChar w:fldCharType="begin"/>
        <w:instrText xml:space="preserve"> TOC \o "1-3" \h \z \u </w:instrText>
        <w:fldChar w:fldCharType="separate"/>
        <w:t>Right-click and update this field in Microsoft Word.</w:t>
        <w:fldChar w:fldCharType="end"/>
      </w:r>
    </w:p>
    <w:p>
      <w:pPr>
        <w:pStyle w:val="Heading1"/>
        <w:pageBreakBefore/>
      </w:pPr>
      <w:r>
        <w:t>1 Purpose and objectives</w:t>
      </w:r>
    </w:p>
    <w:p>
      <w:r>
        <w:t>The purpose of this SOW is to define the services, responsibilities, deliverables, acceptance evidence and controls required to design and implement selected user experiences for the Unified NSIPA G2P Platform and to establish the associated knowledge-management capability.</w:t>
      </w:r>
    </w:p>
    <w:p>
      <w:pPr>
        <w:pStyle w:val="ListBullet"/>
        <w:spacing w:after="60"/>
      </w:pPr>
      <w:r>
        <w:t>Deliver accessible, responsive and role-appropriate frontend experiences for the approved OpenG2P workflow.</w:t>
      </w:r>
    </w:p>
    <w:p>
      <w:pPr>
        <w:pStyle w:val="ListBullet"/>
        <w:spacing w:after="60"/>
      </w:pPr>
      <w:r>
        <w:t>Implement production frontend code only in the applications and repositories expressly assigned to Swift.</w:t>
      </w:r>
    </w:p>
    <w:p>
      <w:pPr>
        <w:pStyle w:val="ListBullet"/>
        <w:spacing w:after="60"/>
      </w:pPr>
      <w:r>
        <w:t>Ensure interface language and states reflect approved programme rules and actual platform behaviour.</w:t>
      </w:r>
    </w:p>
    <w:p>
      <w:pPr>
        <w:pStyle w:val="ListBullet"/>
        <w:spacing w:after="60"/>
      </w:pPr>
      <w:r>
        <w:t>Provide governed contextual guidance and institutional knowledge structures for the selected pilot.</w:t>
      </w:r>
    </w:p>
    <w:p>
      <w:pPr>
        <w:pStyle w:val="ListBullet"/>
        <w:spacing w:after="60"/>
      </w:pPr>
      <w:r>
        <w:t>Transfer editable designs, source code, tests, documentation and agreed knowledge assets to the designated owners.</w:t>
      </w:r>
    </w:p>
    <w:p>
      <w:pPr>
        <w:pStyle w:val="Heading1"/>
      </w:pPr>
      <w:r>
        <w:t>2 Phase 1 boundary and technical baseline</w:t>
      </w:r>
    </w:p>
    <w:p>
      <w:r>
        <w:t>Phase 1 is limited to the programme, workflow, roles, channels, locations, languages and environments recorded in the signed Baseline Schedule. Production implementation begins only after PMO, the designated agency, OORU and Swift approve the baseline and responsibility matrix.</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024"/>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Baseline item</w:t>
            </w:r>
          </w:p>
        </w:tc>
        <w:tc>
          <w:tcPr>
            <w:tcW w:type="dxa" w:w="6768"/>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Required signed decision</w:t>
            </w:r>
          </w:p>
        </w:tc>
      </w:tr>
      <w:t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OpenG2P inventory</w:t>
            </w:r>
          </w:p>
        </w:tc>
        <w:tc>
          <w:tcPr>
            <w:tcW w:type="dxa" w:w="676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Installed package names and versions; Odoo version and addons; portal applications; repositories, branches, tags and customisations.</w:t>
            </w:r>
          </w:p>
        </w:tc>
      </w:tr>
      <w:tr>
        <w:tc>
          <w:tcPr>
            <w:tcW w:type="dxa" w:w="3024"/>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Module implementation</w:t>
            </w:r>
          </w:p>
        </w:tc>
        <w:tc>
          <w:tcPr>
            <w:tcW w:type="dxa" w:w="6768"/>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Current and target frontend framework by module, including any Nigeria-specific React migration and release sequence.</w:t>
            </w:r>
          </w:p>
        </w:tc>
      </w:tr>
      <w:t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Interfaces</w:t>
            </w:r>
          </w:p>
        </w:tc>
        <w:tc>
          <w:tcPr>
            <w:tcW w:type="dxa" w:w="676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OpenAPI contracts, events, status models, validation, error codes, service accounts, rate limits and representative synthetic fixtures.</w:t>
            </w:r>
          </w:p>
        </w:tc>
      </w:tr>
      <w:tr>
        <w:tc>
          <w:tcPr>
            <w:tcW w:type="dxa" w:w="3024"/>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Identity and access</w:t>
            </w:r>
          </w:p>
        </w:tc>
        <w:tc>
          <w:tcPr>
            <w:tcW w:type="dxa" w:w="6768"/>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Selected provider, roles, permissions, delegation, assurance, recovery, session, masking and audit requirements.</w:t>
            </w:r>
          </w:p>
        </w:tc>
      </w:tr>
      <w:t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Delivery environments</w:t>
            </w:r>
          </w:p>
        </w:tc>
        <w:tc>
          <w:tcPr>
            <w:tcW w:type="dxa" w:w="676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Development, test, UAT and production ownership; CI/CD, security review, observability and release controls.</w:t>
            </w:r>
          </w:p>
        </w:tc>
      </w:tr>
      <w:tr>
        <w:tc>
          <w:tcPr>
            <w:tcW w:type="dxa" w:w="3024"/>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Commercial quantities</w:t>
            </w:r>
          </w:p>
        </w:tc>
        <w:tc>
          <w:tcPr>
            <w:tcW w:type="dxa" w:w="6768"/>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Workflows, screens, states, components, roles, devices, languages, integrations, validation rounds, releases and knowledge assets.</w:t>
            </w:r>
          </w:p>
        </w:tc>
      </w:tr>
      <w:t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KMS decision</w:t>
            </w:r>
          </w:p>
        </w:tc>
        <w:tc>
          <w:tcPr>
            <w:tcW w:type="dxa" w:w="676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Repository or CMS, search, editorial workflow, versioning, permissions, analytics, contextual-help mechanism and operating owner.</w:t>
            </w:r>
          </w:p>
        </w:tc>
      </w:tr>
    </w:tbl>
    <w:p>
      <w:pPr>
        <w:spacing w:after="40"/>
      </w:pPr>
    </w:p>
    <w:p>
      <w:pPr>
        <w:pStyle w:val="Heading1"/>
      </w:pPr>
      <w:r>
        <w:t>3 Services in scope</w:t>
      </w:r>
    </w:p>
    <w:p>
      <w:pPr>
        <w:pStyle w:val="Heading2"/>
      </w:pPr>
      <w:r>
        <w:t>3.1 UI and UX discovery and design</w:t>
      </w:r>
    </w:p>
    <w:p>
      <w:pPr>
        <w:pStyle w:val="ListBullet"/>
        <w:spacing w:after="60"/>
      </w:pPr>
      <w:r>
        <w:t>Review approved programme evidence and current Odoo, portal and React interfaces.</w:t>
      </w:r>
    </w:p>
    <w:p>
      <w:pPr>
        <w:pStyle w:val="ListBullet"/>
        <w:spacing w:after="60"/>
      </w:pPr>
      <w:r>
        <w:t>Validate personas, tasks, journeys, business decisions, exceptional paths and assistance needs with authorised participants.</w:t>
      </w:r>
    </w:p>
    <w:p>
      <w:pPr>
        <w:pStyle w:val="ListBullet"/>
        <w:spacing w:after="60"/>
      </w:pPr>
      <w:r>
        <w:t>Prepare service maps, information architecture, wireframes, interactive prototypes, interface copy and responsive specifications.</w:t>
      </w:r>
    </w:p>
    <w:p>
      <w:pPr>
        <w:pStyle w:val="ListBullet"/>
        <w:spacing w:after="60"/>
      </w:pPr>
      <w:r>
        <w:t>Define reusable components, design tokens, navigation, forms, tables, statuses, notifications, dialogs and contextual-help patterns.</w:t>
      </w:r>
    </w:p>
    <w:p>
      <w:pPr>
        <w:pStyle w:val="ListBullet"/>
        <w:spacing w:after="60"/>
      </w:pPr>
      <w:r>
        <w:t>Test task completion, comprehension, error recovery and accessibility; maintain traceability between evidence, design decisions and acceptance criteria.</w:t>
      </w:r>
    </w:p>
    <w:p>
      <w:pPr>
        <w:pStyle w:val="Heading2"/>
      </w:pPr>
      <w:r>
        <w:t>3.2 Frontend engineering</w:t>
      </w:r>
    </w:p>
    <w:p>
      <w:r>
        <w:t>Swift will engineer frontend code for the applications expressly assigned in the signed Module Responsibility Schedule. Work may include React or Next.js portal development, approved Odoo web extensions or themes, reusable components, frontend orchestration and API integration. The selected implementation path must preserve supported OpenG2P extension and upgrade practices.</w:t>
      </w:r>
    </w:p>
    <w:p>
      <w:pPr>
        <w:pStyle w:val="ListBullet"/>
        <w:spacing w:after="60"/>
      </w:pPr>
      <w:r>
        <w:t>Set up or use the approved repository, branch protections, linting, formatting, code review and CI pipeline.</w:t>
      </w:r>
    </w:p>
    <w:p>
      <w:pPr>
        <w:pStyle w:val="ListBullet"/>
        <w:spacing w:after="60"/>
      </w:pPr>
      <w:r>
        <w:t>Implement approved screens, responsive variants, validation, loading, empty, permission, timeout, error, retry and recovery states.</w:t>
      </w:r>
    </w:p>
    <w:p>
      <w:pPr>
        <w:pStyle w:val="ListBullet"/>
        <w:spacing w:after="60"/>
      </w:pPr>
      <w:r>
        <w:t>Integrate only with approved APIs and events; use mocks or synthetic fixtures until stable interfaces are available.</w:t>
      </w:r>
    </w:p>
    <w:p>
      <w:pPr>
        <w:pStyle w:val="ListBullet"/>
        <w:spacing w:after="60"/>
      </w:pPr>
      <w:r>
        <w:t>Implement localisation readiness, accessible keyboard and screen-reader behaviour, secure session handling and beneficiary-safe data display.</w:t>
      </w:r>
    </w:p>
    <w:p>
      <w:pPr>
        <w:pStyle w:val="ListBullet"/>
        <w:spacing w:after="60"/>
      </w:pPr>
      <w:r>
        <w:t>Create unit, component, integration and end-to-end tests appropriate to the assigned application.</w:t>
      </w:r>
    </w:p>
    <w:p>
      <w:pPr>
        <w:pStyle w:val="ListBullet"/>
        <w:spacing w:after="60"/>
      </w:pPr>
      <w:r>
        <w:t>Provide component documentation, build and deployment instructions, configuration documentation and technical handover.</w:t>
      </w:r>
    </w:p>
    <w:p>
      <w:pPr>
        <w:pStyle w:val="Heading2"/>
      </w:pPr>
      <w:r>
        <w:t>3.3 Knowledge Management Services</w:t>
      </w:r>
    </w:p>
    <w:p>
      <w:pPr>
        <w:pStyle w:val="ListBullet"/>
        <w:spacing w:after="60"/>
      </w:pPr>
      <w:r>
        <w:t>Establish a source, owner and authority inventory for selected programme knowledge.</w:t>
      </w:r>
    </w:p>
    <w:p>
      <w:pPr>
        <w:pStyle w:val="ListBullet"/>
        <w:spacing w:after="60"/>
      </w:pPr>
      <w:r>
        <w:t>Map roles, tasks, workflow states and exceptions to approved guidance, SOPs, job aids and escalation routes.</w:t>
      </w:r>
    </w:p>
    <w:p>
      <w:pPr>
        <w:pStyle w:val="ListBullet"/>
        <w:spacing w:after="60"/>
      </w:pPr>
      <w:r>
        <w:t>Define taxonomy, metadata, templates, editorial approval, effective dates, supersession, review and retirement controls.</w:t>
      </w:r>
    </w:p>
    <w:p>
      <w:pPr>
        <w:pStyle w:val="ListBullet"/>
        <w:spacing w:after="60"/>
      </w:pPr>
      <w:r>
        <w:t>Design role-aware search, contextual guidance and human escalation for selected user experiences.</w:t>
      </w:r>
    </w:p>
    <w:p>
      <w:pPr>
        <w:pStyle w:val="ListBullet"/>
        <w:spacing w:after="60"/>
      </w:pPr>
      <w:r>
        <w:t>Define role-based capability, induction, refresher and Build-Operate-Transfer continuity requirements.</w:t>
      </w:r>
    </w:p>
    <w:p>
      <w:pPr>
        <w:pStyle w:val="ListBullet"/>
        <w:spacing w:after="60"/>
      </w:pPr>
      <w:r>
        <w:t>Prepare only the number of exemplar or production content assets expressly included in the Quantity Schedule.</w:t>
      </w:r>
    </w:p>
    <w:p>
      <w:pPr>
        <w:pStyle w:val="Heading1"/>
      </w:pPr>
      <w:r>
        <w:t>4 OpenG2P module and frontend responsibility schedule</w:t>
      </w:r>
    </w:p>
    <w:p>
      <w:r>
        <w:t>The following is a decision schedule, not an assumption that every module is deployed. The parties must replace all TBD entries before engineering commitment.</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944"/>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Capability</w:t>
            </w:r>
          </w:p>
        </w:tc>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OpenG2P alignment</w:t>
            </w:r>
          </w:p>
        </w:tc>
        <w:tc>
          <w:tcPr>
            <w:tcW w:type="dxa" w:w="2520"/>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Current or target frontend</w:t>
            </w:r>
          </w:p>
        </w:tc>
        <w:tc>
          <w:tcPr>
            <w:tcW w:type="dxa" w:w="3240"/>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Implementation owner and Phase 1 status</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Beneficiary and household data</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Social Registry</w:t>
            </w:r>
          </w:p>
        </w:tc>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TBD by OORU</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TBD - confirm source of truth and permitted update path</w:t>
            </w:r>
          </w:p>
        </w:tc>
      </w:tr>
      <w:tr>
        <w:tc>
          <w:tcPr>
            <w:tcW w:type="dxa" w:w="1944"/>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Application and enrolment</w:t>
            </w:r>
          </w:p>
        </w:tc>
        <w:tc>
          <w:tcPr>
            <w:tcW w:type="dxa" w:w="2232"/>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PBMS plus beneficiary portal</w:t>
            </w:r>
          </w:p>
        </w:tc>
        <w:tc>
          <w:tcPr>
            <w:tcW w:type="dxa" w:w="252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TBD: Odoo, Next.js or approved React application</w:t>
            </w:r>
          </w:p>
        </w:tc>
        <w:tc>
          <w:tcPr>
            <w:tcW w:type="dxa" w:w="324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TBD - assign portal and staff-side owners</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Eligibility and entitlement</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PBMS</w:t>
            </w:r>
          </w:p>
        </w:tc>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Odoo or approved replacement frontend</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TBD - agency approves rules and explanations</w:t>
            </w:r>
          </w:p>
        </w:tc>
      </w:tr>
      <w:tr>
        <w:tc>
          <w:tcPr>
            <w:tcW w:type="dxa" w:w="1944"/>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Verification and approvals</w:t>
            </w:r>
          </w:p>
        </w:tc>
        <w:tc>
          <w:tcPr>
            <w:tcW w:type="dxa" w:w="2232"/>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PBMS roles and workflows</w:t>
            </w:r>
          </w:p>
        </w:tc>
        <w:tc>
          <w:tcPr>
            <w:tcW w:type="dxa" w:w="252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TBD</w:t>
            </w:r>
          </w:p>
        </w:tc>
        <w:tc>
          <w:tcPr>
            <w:tcW w:type="dxa" w:w="324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TBD - confirm separation of duties and audit</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Financial address</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SPAR where selected</w:t>
            </w:r>
          </w:p>
        </w:tc>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SPAR portal or approved integration</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TBD - confirm consent and validation</w:t>
            </w:r>
          </w:p>
        </w:tc>
      </w:tr>
      <w:tr>
        <w:tc>
          <w:tcPr>
            <w:tcW w:type="dxa" w:w="1944"/>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Disbursement and reconciliation</w:t>
            </w:r>
          </w:p>
        </w:tc>
        <w:tc>
          <w:tcPr>
            <w:tcW w:type="dxa" w:w="2232"/>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PBMS plus G2P Bridge where selected</w:t>
            </w:r>
          </w:p>
        </w:tc>
        <w:tc>
          <w:tcPr>
            <w:tcW w:type="dxa" w:w="252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TBD</w:t>
            </w:r>
          </w:p>
        </w:tc>
        <w:tc>
          <w:tcPr>
            <w:tcW w:type="dxa" w:w="324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TBD - confirm asynchronous statuses, retry and reversal</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Authentication</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OIDC, Keycloak, eSignet or Nigeria-selected provider</w:t>
            </w:r>
          </w:p>
        </w:tc>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Shared access experience</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TBD - confirm provider and recovery</w:t>
            </w:r>
          </w:p>
        </w:tc>
      </w:tr>
      <w:tr>
        <w:tc>
          <w:tcPr>
            <w:tcW w:type="dxa" w:w="1944"/>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Reporting</w:t>
            </w:r>
          </w:p>
        </w:tc>
        <w:tc>
          <w:tcPr>
            <w:tcW w:type="dxa" w:w="2232"/>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OpenG2P reporting or Superset if deployed</w:t>
            </w:r>
          </w:p>
        </w:tc>
        <w:tc>
          <w:tcPr>
            <w:tcW w:type="dxa" w:w="252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TBD</w:t>
            </w:r>
          </w:p>
        </w:tc>
        <w:tc>
          <w:tcPr>
            <w:tcW w:type="dxa" w:w="324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TBD - confirm definitions and authorised views</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Grievance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Confirmed system of record and portal interface</w:t>
            </w:r>
          </w:p>
        </w:tc>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TBD</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TBD - confirm owner, SLA and status API</w:t>
            </w:r>
          </w:p>
        </w:tc>
      </w:tr>
      <w:tr>
        <w:tc>
          <w:tcPr>
            <w:tcW w:type="dxa" w:w="1944"/>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Contextual knowledge</w:t>
            </w:r>
          </w:p>
        </w:tc>
        <w:tc>
          <w:tcPr>
            <w:tcW w:type="dxa" w:w="2232"/>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Approved repository or CMS integration</w:t>
            </w:r>
          </w:p>
        </w:tc>
        <w:tc>
          <w:tcPr>
            <w:tcW w:type="dxa" w:w="252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Embedded and linked guidance</w:t>
            </w:r>
          </w:p>
        </w:tc>
        <w:tc>
          <w:tcPr>
            <w:tcW w:type="dxa" w:w="324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TBD - pass KMS decision gate</w:t>
            </w:r>
          </w:p>
        </w:tc>
      </w:tr>
    </w:tbl>
    <w:p>
      <w:pPr>
        <w:spacing w:after="40"/>
      </w:pPr>
    </w:p>
    <w:p>
      <w:pPr>
        <w:pStyle w:val="Heading1"/>
      </w:pPr>
      <w:r>
        <w:t>5 Work packages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008"/>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ID</w:t>
            </w:r>
          </w:p>
        </w:tc>
        <w:tc>
          <w:tcPr>
            <w:tcW w:type="dxa" w:w="3024"/>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Work package</w:t>
            </w:r>
          </w:p>
        </w:tc>
        <w:tc>
          <w:tcPr>
            <w:tcW w:type="dxa" w:w="5904"/>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Principal outputs</w:t>
            </w:r>
          </w:p>
        </w:tc>
      </w:tr>
      <w:tr>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WP-01</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Mobilisation and baseline</w:t>
            </w:r>
          </w:p>
        </w:tc>
        <w:tc>
          <w:tcPr>
            <w:tcW w:type="dxa" w:w="590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Signed scope, module, repository, environment, responsibility, quantity, dependency and acceptance schedules.</w:t>
            </w:r>
          </w:p>
        </w:tc>
      </w:tr>
      <w:tr>
        <w:tc>
          <w:tcPr>
            <w:tcW w:type="dxa" w:w="1008"/>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WP-02</w:t>
            </w:r>
          </w:p>
        </w:tc>
        <w:tc>
          <w:tcPr>
            <w:tcW w:type="dxa" w:w="3024"/>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Discovery and service definition</w:t>
            </w:r>
          </w:p>
        </w:tc>
        <w:tc>
          <w:tcPr>
            <w:tcW w:type="dxa" w:w="5904"/>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Validated users, service map, journey and state inventory, knowledge map, decisions and risks.</w:t>
            </w:r>
          </w:p>
        </w:tc>
      </w:tr>
      <w:tr>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WP-03</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UX and design system</w:t>
            </w:r>
          </w:p>
        </w:tc>
        <w:tc>
          <w:tcPr>
            <w:tcW w:type="dxa" w:w="590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Wireframes, prototypes, interface copy, design tokens, components and accessibility specifications.</w:t>
            </w:r>
          </w:p>
        </w:tc>
      </w:tr>
      <w:tr>
        <w:tc>
          <w:tcPr>
            <w:tcW w:type="dxa" w:w="1008"/>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WP-04</w:t>
            </w:r>
          </w:p>
        </w:tc>
        <w:tc>
          <w:tcPr>
            <w:tcW w:type="dxa" w:w="3024"/>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Frontend engineering</w:t>
            </w:r>
          </w:p>
        </w:tc>
        <w:tc>
          <w:tcPr>
            <w:tcW w:type="dxa" w:w="5904"/>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Assigned application code, API integrations, coded components, tests, build artefacts and technical documentation.</w:t>
            </w:r>
          </w:p>
        </w:tc>
      </w:tr>
      <w:tr>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WP-05</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Knowledge architecture and assets</w:t>
            </w:r>
          </w:p>
        </w:tc>
        <w:tc>
          <w:tcPr>
            <w:tcW w:type="dxa" w:w="590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Taxonomy, governance, contextual-help design, role-capability model and quantified knowledge assets.</w:t>
            </w:r>
          </w:p>
        </w:tc>
      </w:tr>
      <w:tr>
        <w:tc>
          <w:tcPr>
            <w:tcW w:type="dxa" w:w="1008"/>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WP-06</w:t>
            </w:r>
          </w:p>
        </w:tc>
        <w:tc>
          <w:tcPr>
            <w:tcW w:type="dxa" w:w="3024"/>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Quality, UAT and release assurance</w:t>
            </w:r>
          </w:p>
        </w:tc>
        <w:tc>
          <w:tcPr>
            <w:tcW w:type="dxa" w:w="5904"/>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Test evidence, accessibility review, defect register, UAT support and release recommendation.</w:t>
            </w:r>
          </w:p>
        </w:tc>
      </w:tr>
      <w:tr>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WP-07</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Handover and continuity</w:t>
            </w:r>
          </w:p>
        </w:tc>
        <w:tc>
          <w:tcPr>
            <w:tcW w:type="dxa" w:w="590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Editable design files, source code, decision records, runbooks, training, ownership transfer and backlog.</w:t>
            </w:r>
          </w:p>
        </w:tc>
      </w:tr>
    </w:tbl>
    <w:p>
      <w:pPr>
        <w:spacing w:after="40"/>
      </w:pPr>
    </w:p>
    <w:p>
      <w:pPr>
        <w:pStyle w:val="Heading1"/>
      </w:pPr>
      <w:r>
        <w:t>6 Deliverables and acceptance</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Deliverable</w:t>
            </w:r>
          </w:p>
        </w:tc>
        <w:tc>
          <w:tcPr>
            <w:tcW w:type="dxa" w:w="5544"/>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Minimum acceptance evidence</w:t>
            </w:r>
          </w:p>
        </w:tc>
        <w:tc>
          <w:tcPr>
            <w:tcW w:type="dxa" w:w="2448"/>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Acceptance authority</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Baseline pack</w:t>
            </w:r>
          </w:p>
        </w:tc>
        <w:tc>
          <w:tcPr>
            <w:tcW w:type="dxa" w:w="554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All mandatory schedules completed; dependencies and TBDs assigned with due dates; no unapproved production assumption.</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PMO, agency, OORU and Swift</w:t>
            </w:r>
          </w:p>
        </w:tc>
      </w:tr>
      <w:tr>
        <w:tc>
          <w:tcPr>
            <w:tcW w:type="dxa" w:w="1944"/>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UX specification</w:t>
            </w:r>
          </w:p>
        </w:tc>
        <w:tc>
          <w:tcPr>
            <w:tcW w:type="dxa" w:w="5544"/>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Approved journey, screen and state inventory; responsive designs; interface copy; exception paths; traceability.</w:t>
            </w:r>
          </w:p>
        </w:tc>
        <w:tc>
          <w:tcPr>
            <w:tcW w:type="dxa" w:w="2448"/>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Agency product owner; OORU feasibility</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Design system</w:t>
            </w:r>
          </w:p>
        </w:tc>
        <w:tc>
          <w:tcPr>
            <w:tcW w:type="dxa" w:w="554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Editable design library and coded components where included; usage, variants, states and accessibility guidance.</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Agency and frontend technical lead</w:t>
            </w:r>
          </w:p>
        </w:tc>
      </w:tr>
      <w:tr>
        <w:tc>
          <w:tcPr>
            <w:tcW w:type="dxa" w:w="1944"/>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Frontend release</w:t>
            </w:r>
          </w:p>
        </w:tc>
        <w:tc>
          <w:tcPr>
            <w:tcW w:type="dxa" w:w="5544"/>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Code merged through approved review; build succeeds; assigned tests pass; security and accessibility findings disposed; UAT evidence recorded.</w:t>
            </w:r>
          </w:p>
        </w:tc>
        <w:tc>
          <w:tcPr>
            <w:tcW w:type="dxa" w:w="2448"/>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OORU technical owner and agency UAT authority</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KMS pack</w:t>
            </w:r>
          </w:p>
        </w:tc>
        <w:tc>
          <w:tcPr>
            <w:tcW w:type="dxa" w:w="554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Approved source and owner map, governance, contextual-help specifications and counted content assets.</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Designated agency knowledge owner</w:t>
            </w:r>
          </w:p>
        </w:tc>
      </w:tr>
      <w:tr>
        <w:tc>
          <w:tcPr>
            <w:tcW w:type="dxa" w:w="1944"/>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Handover</w:t>
            </w:r>
          </w:p>
        </w:tc>
        <w:tc>
          <w:tcPr>
            <w:tcW w:type="dxa" w:w="5544"/>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Repositories, design sources, configuration, tests, runbooks, known issues and walkthrough completed with receiving team.</w:t>
            </w:r>
          </w:p>
        </w:tc>
        <w:tc>
          <w:tcPr>
            <w:tcW w:type="dxa" w:w="2448"/>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Named operating and programme owners</w:t>
            </w:r>
          </w:p>
        </w:tc>
      </w:tr>
    </w:tbl>
    <w:p>
      <w:pPr>
        <w:spacing w:after="40"/>
      </w:pPr>
    </w:p>
    <w:p>
      <w:r>
        <w:rPr>
          <w:b/>
        </w:rPr>
        <w:t>Acceptance procedure.</w:t>
      </w:r>
      <w:r>
        <w:t xml:space="preserve"> The customer will review a submitted deliverable within the number of working days stated in the Commercial Schedule and either accept it or issue one consolidated rejection notice linked to the agreed criteria. Silence, partial review or new requirements do not constitute technical acceptance unless the signed contract expressly provides otherwise.</w:t>
      </w:r>
    </w:p>
    <w:p>
      <w:r>
        <w:rPr>
          <w:b/>
        </w:rPr>
        <w:t>Defect severity and closure.</w:t>
      </w:r>
      <w:r>
        <w:t xml:space="preserve"> The parties will define critical, high, medium and low severity, target response and correction periods, release-blocking rules, re-test evidence and authority to accept residual risk before the first engineering sprint.</w:t>
      </w:r>
    </w:p>
    <w:p>
      <w:pPr>
        <w:pStyle w:val="Heading1"/>
      </w:pPr>
      <w:r>
        <w:t>7 Non-functional and quality requirements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Area</w:t>
            </w:r>
          </w:p>
        </w:tc>
        <w:tc>
          <w:tcPr>
            <w:tcW w:type="dxa" w:w="7992"/>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Requirement</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Accessibility</w:t>
            </w:r>
          </w:p>
        </w:tc>
        <w:tc>
          <w:tcPr>
            <w:tcW w:type="dxa" w:w="799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WCAG 2.2 Level AA target for implemented interfaces; automated checks supplement keyboard, screen-reader and manual review.</w:t>
            </w:r>
          </w:p>
        </w:tc>
      </w:tr>
      <w:tr>
        <w:tc>
          <w:tcPr>
            <w:tcW w:type="dxa" w:w="1944"/>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Responsive support</w:t>
            </w:r>
          </w:p>
        </w:tc>
        <w:tc>
          <w:tcPr>
            <w:tcW w:type="dxa" w:w="7992"/>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Approved browser, device, viewport and assistive-technology matrix recorded before implementation.</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Performance</w:t>
            </w:r>
          </w:p>
        </w:tc>
        <w:tc>
          <w:tcPr>
            <w:tcW w:type="dxa" w:w="799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Page-weight, interaction, response and low-bandwidth targets agreed after baseline testing; frontend must expose genuine pending and retry states.</w:t>
            </w:r>
          </w:p>
        </w:tc>
      </w:tr>
      <w:tr>
        <w:tc>
          <w:tcPr>
            <w:tcW w:type="dxa" w:w="1944"/>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Reliability</w:t>
            </w:r>
          </w:p>
        </w:tc>
        <w:tc>
          <w:tcPr>
            <w:tcW w:type="dxa" w:w="7992"/>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Defined behaviour for unavailable APIs, partial data, timeouts, duplicate actions, stale states and resumable tasks where supported.</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Maintainability</w:t>
            </w:r>
          </w:p>
        </w:tc>
        <w:tc>
          <w:tcPr>
            <w:tcW w:type="dxa" w:w="799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Approved coding standards, modular components, documentation, tests and dependency management.</w:t>
            </w:r>
          </w:p>
        </w:tc>
      </w:tr>
      <w:tr>
        <w:tc>
          <w:tcPr>
            <w:tcW w:type="dxa" w:w="1944"/>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Observability</w:t>
            </w:r>
          </w:p>
        </w:tc>
        <w:tc>
          <w:tcPr>
            <w:tcW w:type="dxa" w:w="7992"/>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Privacy-safe error logging, correlation identifiers and agreed analytics without exposing beneficiary-sensitive data.</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Localisation</w:t>
            </w:r>
          </w:p>
        </w:tc>
        <w:tc>
          <w:tcPr>
            <w:tcW w:type="dxa" w:w="799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Text expansion, pluralisation, date and number formats, language fallback and approved translation workflow.</w:t>
            </w:r>
          </w:p>
        </w:tc>
      </w:tr>
    </w:tbl>
    <w:p>
      <w:pPr>
        <w:spacing w:after="40"/>
      </w:pPr>
    </w:p>
    <w:p>
      <w:pPr>
        <w:pStyle w:val="Heading1"/>
      </w:pPr>
      <w:r>
        <w:t>8 Security privacy and data protection</w:t>
      </w:r>
    </w:p>
    <w:p>
      <w:r>
        <w:t>The parties will comply with applicable Nigerian data-protection requirements and the approved government security framework. Before any processing of personal data, the parties will record controller and processor roles, lawful authority, permitted purpose, data categories, processing location, retention and deletion, subprocessors and incident responsibilities in the applicable agreement or schedule.</w:t>
      </w:r>
    </w:p>
    <w:p>
      <w:pPr>
        <w:pStyle w:val="ListBullet"/>
        <w:spacing w:after="60"/>
      </w:pPr>
      <w:r>
        <w:t>Complete or support the responsible authority's data protection impact assessment when required.</w:t>
      </w:r>
    </w:p>
    <w:p>
      <w:pPr>
        <w:pStyle w:val="ListBullet"/>
        <w:spacing w:after="60"/>
      </w:pPr>
      <w:r>
        <w:t>Use synthetic or expressly authorised masked data in design and development environments.</w:t>
      </w:r>
    </w:p>
    <w:p>
      <w:pPr>
        <w:pStyle w:val="ListBullet"/>
        <w:spacing w:after="60"/>
      </w:pPr>
      <w:r>
        <w:t>Do not copy beneficiary information to unapproved repositories, design tools, analytics services or AI systems.</w:t>
      </w:r>
    </w:p>
    <w:p>
      <w:pPr>
        <w:pStyle w:val="ListBullet"/>
        <w:spacing w:after="60"/>
      </w:pPr>
      <w:r>
        <w:t>Apply least privilege, credential protection, access review, session controls, secure logging and audit evidence.</w:t>
      </w:r>
    </w:p>
    <w:p>
      <w:pPr>
        <w:pStyle w:val="ListBullet"/>
        <w:spacing w:after="60"/>
      </w:pPr>
      <w:r>
        <w:t>Document cross-border transfers, hosting and remote-access arrangements before use.</w:t>
      </w:r>
    </w:p>
    <w:p>
      <w:pPr>
        <w:pStyle w:val="ListBullet"/>
        <w:spacing w:after="60"/>
      </w:pPr>
      <w:r>
        <w:t>Record security testing, vulnerability disposition, incident escalation, data return and secure disposal requirements.</w:t>
      </w:r>
    </w:p>
    <w:p>
      <w:pPr>
        <w:pStyle w:val="Heading1"/>
      </w:pPr>
      <w:r>
        <w:t>9 Delivery lifecycle and stage gates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016"/>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Gate</w:t>
            </w:r>
          </w:p>
        </w:tc>
        <w:tc>
          <w:tcPr>
            <w:tcW w:type="dxa" w:w="7920"/>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Exit evidence</w:t>
            </w:r>
          </w:p>
        </w:tc>
      </w:tr>
      <w:tr>
        <w:tc>
          <w:tcPr>
            <w:tcW w:type="dxa" w:w="201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G0 Mobilise</w:t>
            </w:r>
          </w:p>
        </w:tc>
        <w:tc>
          <w:tcPr>
            <w:tcW w:type="dxa" w:w="792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Named decision makers, approved pilot boundary, access route, schedule and unresolved issue register.</w:t>
            </w:r>
          </w:p>
        </w:tc>
      </w:tr>
      <w:tr>
        <w:tc>
          <w:tcPr>
            <w:tcW w:type="dxa" w:w="2016"/>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G1 Baseline</w:t>
            </w:r>
          </w:p>
        </w:tc>
        <w:tc>
          <w:tcPr>
            <w:tcW w:type="dxa" w:w="792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Signed module, repository, API, environment, quantity, role and acceptance schedules.</w:t>
            </w:r>
          </w:p>
        </w:tc>
      </w:tr>
      <w:tr>
        <w:tc>
          <w:tcPr>
            <w:tcW w:type="dxa" w:w="201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G2 Design approval</w:t>
            </w:r>
          </w:p>
        </w:tc>
        <w:tc>
          <w:tcPr>
            <w:tcW w:type="dxa" w:w="792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Validated journeys, designs, content and technical feasibility with recorded exceptions.</w:t>
            </w:r>
          </w:p>
        </w:tc>
      </w:tr>
      <w:tr>
        <w:tc>
          <w:tcPr>
            <w:tcW w:type="dxa" w:w="2016"/>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G3 Engineering ready</w:t>
            </w:r>
          </w:p>
        </w:tc>
        <w:tc>
          <w:tcPr>
            <w:tcW w:type="dxa" w:w="792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Stable contracts or approved mocks, backlog, definition of done, environments and test plan.</w:t>
            </w:r>
          </w:p>
        </w:tc>
      </w:tr>
      <w:tr>
        <w:tc>
          <w:tcPr>
            <w:tcW w:type="dxa" w:w="201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G4 Release candidate</w:t>
            </w:r>
          </w:p>
        </w:tc>
        <w:tc>
          <w:tcPr>
            <w:tcW w:type="dxa" w:w="792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Approved code review, test evidence, accessibility/security disposition and UAT package.</w:t>
            </w:r>
          </w:p>
        </w:tc>
      </w:tr>
      <w:tr>
        <w:tc>
          <w:tcPr>
            <w:tcW w:type="dxa" w:w="2016"/>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G5 Pilot acceptance</w:t>
            </w:r>
          </w:p>
        </w:tc>
        <w:tc>
          <w:tcPr>
            <w:tcW w:type="dxa" w:w="792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Business, technical and knowledge acceptance; residual risks and backlog assigned.</w:t>
            </w:r>
          </w:p>
        </w:tc>
      </w:tr>
      <w:tr>
        <w:tc>
          <w:tcPr>
            <w:tcW w:type="dxa" w:w="201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G6 Handover</w:t>
            </w:r>
          </w:p>
        </w:tc>
        <w:tc>
          <w:tcPr>
            <w:tcW w:type="dxa" w:w="792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Editable assets, source, documentation, runbooks, credentials transfer process and receiving-team sign-off.</w:t>
            </w:r>
          </w:p>
        </w:tc>
      </w:tr>
    </w:tbl>
    <w:p>
      <w:pPr>
        <w:spacing w:after="40"/>
      </w:pPr>
    </w:p>
    <w:p>
      <w:pPr>
        <w:pStyle w:val="Heading1"/>
      </w:pPr>
      <w:r>
        <w:t>10 Responsibilities and dependencies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Party</w:t>
            </w:r>
          </w:p>
        </w:tc>
        <w:tc>
          <w:tcPr>
            <w:tcW w:type="dxa" w:w="7056"/>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Primary responsibility</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Designated Nigerian agencies</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Own programme policy, business rules, SOP truth, public wording, research permissions, content approval and business acceptance.</w:t>
            </w:r>
          </w:p>
        </w:tc>
      </w:tr>
      <w:tr>
        <w:tc>
          <w:tcPr>
            <w:tcW w:type="dxa" w:w="288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PMO Winverve IQS</w:t>
            </w:r>
          </w:p>
        </w:tc>
        <w:tc>
          <w:tcPr>
            <w:tcW w:type="dxa" w:w="7056"/>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Coordinate decisions, priorities, access, dependency closure, schedule, change control and consolidated approvals.</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OORU or named platform owner</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Own technical baseline, APIs, architecture, repositories, environments, integration standards, code acceptance and deployment unless reassigned.</w:t>
            </w:r>
          </w:p>
        </w:tc>
      </w:tr>
      <w:tr>
        <w:tc>
          <w:tcPr>
            <w:tcW w:type="dxa" w:w="288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Swift Solution Pvt Ltd.</w:t>
            </w:r>
          </w:p>
        </w:tc>
        <w:tc>
          <w:tcPr>
            <w:tcW w:type="dxa" w:w="7056"/>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Deliver assigned discovery, UX, frontend engineering, KMS design/assets, validation, implementation assurance and handover.</w:t>
            </w:r>
          </w:p>
        </w:tc>
      </w:tr>
    </w:tbl>
    <w:p>
      <w:pPr>
        <w:spacing w:after="40"/>
      </w:pPr>
    </w:p>
    <w:p>
      <w:r>
        <w:t>Delay or unavailability of approved requirements, APIs, environments, access, test data, reviews, content, translations or receiving personnel may change sequence and dates. Additional effort is governed through change control.</w:t>
      </w:r>
    </w:p>
    <w:p>
      <w:pPr>
        <w:pStyle w:val="Heading1"/>
      </w:pPr>
      <w:r>
        <w:t>11 Quantity and commercial baseline schedule</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3024"/>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Pricing unit</w:t>
            </w:r>
          </w:p>
        </w:tc>
        <w:tc>
          <w:tcPr>
            <w:tcW w:type="dxa" w:w="2160"/>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Approved quantity</w:t>
            </w:r>
          </w:p>
        </w:tc>
        <w:tc>
          <w:tcPr>
            <w:tcW w:type="dxa" w:w="4752"/>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Notes or assumptions</w:t>
            </w:r>
          </w:p>
        </w:tc>
      </w:tr>
      <w:t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Priority workflows</w:t>
            </w:r>
          </w:p>
        </w:tc>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TBD before signature</w:t>
            </w:r>
          </w:p>
        </w:tc>
        <w:tc>
          <w:tcPr>
            <w:tcW w:type="dxa" w:w="475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Name each workflow and module boundary</w:t>
            </w:r>
          </w:p>
        </w:tc>
      </w:tr>
      <w:tr>
        <w:tc>
          <w:tcPr>
            <w:tcW w:type="dxa" w:w="3024"/>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Unique screens and dialogs</w:t>
            </w:r>
          </w:p>
        </w:tc>
        <w:tc>
          <w:tcPr>
            <w:tcW w:type="dxa" w:w="216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TBD before signature</w:t>
            </w:r>
          </w:p>
        </w:tc>
        <w:tc>
          <w:tcPr>
            <w:tcW w:type="dxa" w:w="4752"/>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Count role and materially different state variants</w:t>
            </w:r>
          </w:p>
        </w:tc>
      </w:tr>
      <w:t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Reusable coded components</w:t>
            </w:r>
          </w:p>
        </w:tc>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TBD before signature</w:t>
            </w:r>
          </w:p>
        </w:tc>
        <w:tc>
          <w:tcPr>
            <w:tcW w:type="dxa" w:w="475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Identify new versus reused components</w:t>
            </w:r>
          </w:p>
        </w:tc>
      </w:tr>
      <w:tr>
        <w:tc>
          <w:tcPr>
            <w:tcW w:type="dxa" w:w="3024"/>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Roles and channels</w:t>
            </w:r>
          </w:p>
        </w:tc>
        <w:tc>
          <w:tcPr>
            <w:tcW w:type="dxa" w:w="216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TBD before signature</w:t>
            </w:r>
          </w:p>
        </w:tc>
        <w:tc>
          <w:tcPr>
            <w:tcW w:type="dxa" w:w="4752"/>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Beneficiary, field, staff, administrator and others</w:t>
            </w:r>
          </w:p>
        </w:tc>
      </w:tr>
      <w:t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Languages</w:t>
            </w:r>
          </w:p>
        </w:tc>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TBD before signature</w:t>
            </w:r>
          </w:p>
        </w:tc>
        <w:tc>
          <w:tcPr>
            <w:tcW w:type="dxa" w:w="475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Identify translation provider and approver</w:t>
            </w:r>
          </w:p>
        </w:tc>
      </w:tr>
      <w:tr>
        <w:tc>
          <w:tcPr>
            <w:tcW w:type="dxa" w:w="3024"/>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API integrations</w:t>
            </w:r>
          </w:p>
        </w:tc>
        <w:tc>
          <w:tcPr>
            <w:tcW w:type="dxa" w:w="216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TBD before signature</w:t>
            </w:r>
          </w:p>
        </w:tc>
        <w:tc>
          <w:tcPr>
            <w:tcW w:type="dxa" w:w="4752"/>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List each service and contract status</w:t>
            </w:r>
          </w:p>
        </w:tc>
      </w:tr>
      <w:t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UAT and release cycles</w:t>
            </w:r>
          </w:p>
        </w:tc>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TBD before signature</w:t>
            </w:r>
          </w:p>
        </w:tc>
        <w:tc>
          <w:tcPr>
            <w:tcW w:type="dxa" w:w="475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Include supported correction rounds</w:t>
            </w:r>
          </w:p>
        </w:tc>
      </w:tr>
      <w:tr>
        <w:tc>
          <w:tcPr>
            <w:tcW w:type="dxa" w:w="3024"/>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Knowledge assets</w:t>
            </w:r>
          </w:p>
        </w:tc>
        <w:tc>
          <w:tcPr>
            <w:tcW w:type="dxa" w:w="216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TBD before signature</w:t>
            </w:r>
          </w:p>
        </w:tc>
        <w:tc>
          <w:tcPr>
            <w:tcW w:type="dxa" w:w="4752"/>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Count SOPs, job aids, articles, templates and learning assets</w:t>
            </w:r>
          </w:p>
        </w:tc>
      </w:tr>
      <w:t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Training and handover sessions</w:t>
            </w:r>
          </w:p>
        </w:tc>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TBD before signature</w:t>
            </w:r>
          </w:p>
        </w:tc>
        <w:tc>
          <w:tcPr>
            <w:tcW w:type="dxa" w:w="475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Audience, duration and delivery mode</w:t>
            </w:r>
          </w:p>
        </w:tc>
      </w:tr>
    </w:tbl>
    <w:p>
      <w:pPr>
        <w:spacing w:after="40"/>
      </w:pPr>
    </w:p>
    <w:p>
      <w:pPr>
        <w:pStyle w:val="Heading1"/>
      </w:pPr>
      <w:r>
        <w:t>12 Change control</w:t>
      </w:r>
    </w:p>
    <w:p>
      <w:r>
        <w:t>A change to approved programmes, workflows, rules, screen inventory, roles, channels, languages, interfaces, repositories, frameworks, environments, content volumes, review cycles, release dates or responsibilities requires a written impact assessment. Work begins only after authorised approval of scope, schedule and commercial impact.</w:t>
      </w:r>
    </w:p>
    <w:p>
      <w:pPr>
        <w:pStyle w:val="Heading1"/>
      </w:pPr>
      <w:r>
        <w:t>13 Exclusions unless expressly included</w:t>
      </w:r>
    </w:p>
    <w:p>
      <w:pPr>
        <w:pStyle w:val="ListBullet"/>
        <w:spacing w:after="60"/>
      </w:pPr>
      <w:r>
        <w:t>Core OpenG2P backend replacement or changes outside assigned extension points.</w:t>
      </w:r>
    </w:p>
    <w:p>
      <w:pPr>
        <w:pStyle w:val="ListBullet"/>
        <w:spacing w:after="60"/>
      </w:pPr>
      <w:r>
        <w:t>Cloud infrastructure, production operations, payment or identity certification and third-party licensing.</w:t>
      </w:r>
    </w:p>
    <w:p>
      <w:pPr>
        <w:pStyle w:val="ListBullet"/>
        <w:spacing w:after="60"/>
      </w:pPr>
      <w:r>
        <w:t>Legacy data migration, nationwide content production, unrestricted translation or national rollout.</w:t>
      </w:r>
    </w:p>
    <w:p>
      <w:pPr>
        <w:pStyle w:val="ListBullet"/>
        <w:spacing w:after="60"/>
      </w:pPr>
      <w:r>
        <w:t>Native mobile, USSD, IVR, new LMS, AI or retrieval-augmented generation services.</w:t>
      </w:r>
    </w:p>
    <w:p>
      <w:pPr>
        <w:pStyle w:val="ListBullet"/>
        <w:spacing w:after="60"/>
      </w:pPr>
      <w:r>
        <w:t>Long-term content stewardship, 24 by 7 support or operational service-desk responsibility.</w:t>
      </w:r>
    </w:p>
    <w:p>
      <w:pPr>
        <w:pStyle w:val="Heading1"/>
      </w:pPr>
      <w:r>
        <w:t>14 Intellectual property open source and handover</w:t>
      </w:r>
    </w:p>
    <w:p>
      <w:r>
        <w:t>The signed agreement will distinguish pre-existing materials, OpenG2P and other open-source components, third-party software, project-specific deliverables and confidential government materials. Swift will provide the assigned editable design sources, source code, tests and documentation subject to the agreed licence and payment terms. No party may represent third-party or OpenG2P code as exclusively owned project code.</w:t>
      </w:r>
    </w:p>
    <w:p>
      <w:pPr>
        <w:pStyle w:val="Heading1"/>
      </w:pPr>
      <w:r>
        <w:t>15 Warranty and post-release support</w:t>
      </w:r>
    </w:p>
    <w:p>
      <w:r>
        <w:t>The Commercial Schedule will state the warranty period, covered defect types, response and correction targets, supported releases, environment assumptions and exclusions. New requirements, changed APIs, upstream upgrades and third-party failures are handled through change control unless expressly included.</w:t>
      </w:r>
    </w:p>
    <w:p>
      <w:pPr>
        <w:pStyle w:val="Heading1"/>
      </w:pPr>
      <w:r>
        <w:t>16 Decisions required before signature</w:t>
      </w:r>
    </w:p>
    <w:p>
      <w:pPr>
        <w:pStyle w:val="ListBullet"/>
        <w:spacing w:after="60"/>
      </w:pPr>
      <w:r>
        <w:t>Select the first programme and end-to-end workflow.</w:t>
      </w:r>
    </w:p>
    <w:p>
      <w:pPr>
        <w:pStyle w:val="ListBullet"/>
        <w:spacing w:after="60"/>
      </w:pPr>
      <w:r>
        <w:t>Complete the module, repository, frontend and engineering responsibility schedule.</w:t>
      </w:r>
    </w:p>
    <w:p>
      <w:pPr>
        <w:pStyle w:val="ListBullet"/>
        <w:spacing w:after="60"/>
      </w:pPr>
      <w:r>
        <w:t>Approve Nigeria-specific fields, validation, state meanings and decision authorities.</w:t>
      </w:r>
    </w:p>
    <w:p>
      <w:pPr>
        <w:pStyle w:val="ListBullet"/>
        <w:spacing w:after="60"/>
      </w:pPr>
      <w:r>
        <w:t>Approve the quantity, milestone, acceptance, warranty and commercial schedules.</w:t>
      </w:r>
    </w:p>
    <w:p>
      <w:pPr>
        <w:pStyle w:val="ListBullet"/>
        <w:spacing w:after="60"/>
      </w:pPr>
      <w:r>
        <w:t>Confirm the KMS repository, search, publishing and operating-owner decision.</w:t>
      </w:r>
    </w:p>
    <w:p>
      <w:pPr>
        <w:pStyle w:val="ListBullet"/>
        <w:spacing w:after="60"/>
      </w:pPr>
      <w:r>
        <w:t>Confirm data-protection, security, hosting, access and incident responsibilities.</w:t>
      </w:r>
    </w:p>
    <w:p>
      <w:pPr>
        <w:pStyle w:val="Heading1"/>
      </w:pPr>
      <w:r>
        <w:t>17 References and approvals</w:t>
      </w:r>
    </w:p>
    <w:p>
      <w:r>
        <w:t>Technical references include the official OpenG2P documentation and the OORU-approved deployment record. Project-specific repositories, tags, deployment manifests and interface contracts control where they differ from generic product documentation. Programme policy and operating rules remain controlled by the designated Nigerian authorities.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3168"/>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Approval role</w:t>
            </w:r>
          </w:p>
        </w:tc>
        <w:tc>
          <w:tcPr>
            <w:tcW w:type="dxa" w:w="4032"/>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Name and organisation</w:t>
            </w:r>
          </w:p>
        </w:tc>
        <w:tc>
          <w:tcPr>
            <w:tcW w:type="dxa" w:w="2736"/>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Signature and date</w:t>
            </w:r>
          </w:p>
        </w:tc>
      </w:tr>
      <w:tr>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Programme and business authority</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r>
          </w:p>
        </w:tc>
        <w:tc>
          <w:tcPr>
            <w:tcW w:type="dxa" w:w="27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r>
          </w:p>
        </w:tc>
      </w:tr>
      <w:tr>
        <w:tc>
          <w:tcPr>
            <w:tcW w:type="dxa" w:w="3168"/>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PMO authority</w:t>
            </w:r>
          </w:p>
        </w:tc>
        <w:tc>
          <w:tcPr>
            <w:tcW w:type="dxa" w:w="4032"/>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r>
          </w:p>
        </w:tc>
        <w:tc>
          <w:tcPr>
            <w:tcW w:type="dxa" w:w="2736"/>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r>
          </w:p>
        </w:tc>
      </w:tr>
      <w:tr>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OORU technical authority</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r>
          </w:p>
        </w:tc>
        <w:tc>
          <w:tcPr>
            <w:tcW w:type="dxa" w:w="27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r>
          </w:p>
        </w:tc>
      </w:tr>
      <w:tr>
        <w:tc>
          <w:tcPr>
            <w:tcW w:type="dxa" w:w="3168"/>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Swift Solution authority</w:t>
            </w:r>
          </w:p>
        </w:tc>
        <w:tc>
          <w:tcPr>
            <w:tcW w:type="dxa" w:w="4032"/>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r>
          </w:p>
        </w:tc>
        <w:tc>
          <w:tcPr>
            <w:tcW w:type="dxa" w:w="2736"/>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r>
          </w:p>
        </w:tc>
      </w:tr>
      <w:tr>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Data protection or security authority where required</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r>
          </w:p>
        </w:tc>
        <w:tc>
          <w:tcPr>
            <w:tcW w:type="dxa" w:w="27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r>
          </w:p>
        </w:tc>
      </w:tr>
    </w:tbl>
    <w:p>
      <w:pPr>
        <w:spacing w:after="40"/>
      </w:pPr>
    </w:p>
    <w:sectPr w:rsidR="00FC693F" w:rsidRPr="0006063C" w:rsidSect="00034616">
      <w:footerReference w:type="default" r:id="rId9"/>
      <w:pgSz w:w="12240" w:h="15840"/>
      <w:pgMar w:top="1008" w:right="1123" w:bottom="1008"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6"/>
      </w:rPr>
      <w:t>SWIFT-NSIPA-SOW-UIFE-KMS  |  Version 4.0  |  Controlled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Display" w:hAnsi="Aptos Display"/>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00"/>
    </w:pPr>
    <w:rPr>
      <w:rFonts w:asciiTheme="majorHAnsi" w:eastAsiaTheme="majorEastAsia" w:hAnsiTheme="majorHAnsi" w:cstheme="majorBidi" w:ascii="Aptos Display" w:hAnsi="Aptos Display"/>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Unified NSIPA G2P UIUX Frontend KMS SOW v4.0</dc:title>
  <dc:subject>Unified NSIPA G2P Platform</dc:subject>
  <dc:creator>Swift Solution Pvt Ltd.</dc:creator>
  <cp:keywords>NSIPA, OpenG2P, UI UX, frontend, KMS</cp:keywords>
  <dc:description>generated by python-docx</dc:description>
  <cp:lastModifiedBy/>
  <cp:revision>1</cp:revision>
  <dcterms:created xsi:type="dcterms:W3CDTF">2013-12-23T23:15:00Z</dcterms:created>
  <dcterms:modified xsi:type="dcterms:W3CDTF">2013-12-23T23:15:00Z</dcterms:modified>
  <cp:category/>
</cp:coreProperties>
</file>