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495DDC" w14:textId="77777777" w:rsidR="009833E6" w:rsidRDefault="009833E6" w:rsidP="00F371C6">
      <w:pPr>
        <w:spacing w:line="240" w:lineRule="auto"/>
        <w:sectPr w:rsidR="009833E6" w:rsidSect="00F013CB">
          <w:headerReference w:type="default" r:id="rId9"/>
          <w:pgSz w:w="9637" w:h="13946"/>
          <w:pgMar w:top="1984" w:right="1303" w:bottom="1417" w:left="1303" w:header="850" w:footer="0" w:gutter="0"/>
          <w:cols w:space="720"/>
        </w:sectPr>
      </w:pPr>
    </w:p>
    <w:tbl>
      <w:tblPr>
        <w:tblW w:w="6822" w:type="dxa"/>
        <w:tblBorders>
          <w:top w:val="single" w:sz="2" w:space="0" w:color="000000"/>
          <w:left w:val="single" w:sz="2" w:space="0" w:color="000000"/>
          <w:bottom w:val="single" w:sz="2" w:space="0" w:color="000000"/>
          <w:right w:val="single" w:sz="2" w:space="0" w:color="000000"/>
        </w:tblBorders>
        <w:tblCellMar>
          <w:left w:w="85" w:type="dxa"/>
          <w:right w:w="85" w:type="dxa"/>
        </w:tblCellMar>
        <w:tblLook w:val="0000" w:firstRow="0" w:lastRow="0" w:firstColumn="0" w:lastColumn="0" w:noHBand="0" w:noVBand="0"/>
      </w:tblPr>
      <w:tblGrid>
        <w:gridCol w:w="6822"/>
      </w:tblGrid>
      <w:tr w:rsidR="009833E6" w14:paraId="6406BD49" w14:textId="77777777" w:rsidTr="00F371C6">
        <w:trPr>
          <w:trHeight w:val="951"/>
        </w:trPr>
        <w:tc>
          <w:tcPr>
            <w:tcW w:w="6822" w:type="dxa"/>
            <w:tcBorders>
              <w:top w:val="single" w:sz="3" w:space="0" w:color="000000"/>
              <w:left w:val="none" w:sz="2" w:space="0" w:color="auto"/>
              <w:bottom w:val="none" w:sz="2" w:space="0" w:color="auto"/>
              <w:right w:val="none" w:sz="2" w:space="0" w:color="auto"/>
              <w:tl2br w:val="nil"/>
              <w:tr2bl w:val="nil"/>
            </w:tcBorders>
            <w:tcMar>
              <w:top w:w="283" w:type="dxa"/>
              <w:left w:w="0" w:type="dxa"/>
              <w:bottom w:w="226" w:type="dxa"/>
              <w:right w:w="0" w:type="dxa"/>
            </w:tcMar>
            <w:vAlign w:val="bottom"/>
          </w:tcPr>
          <w:p w14:paraId="67A29A4F" w14:textId="12E937FF" w:rsidR="009833E6" w:rsidRDefault="00E57EA8" w:rsidP="00F371C6">
            <w:pPr>
              <w:pStyle w:val="ad"/>
              <w:spacing w:line="240" w:lineRule="auto"/>
            </w:pPr>
            <w:r>
              <w:rPr>
                <w:position w:val="0"/>
              </w:rPr>
              <w:t xml:space="preserve">다변화하는 위험 환경과 보험계리사 자격시험의 데이터사이언스 역량 평가: 한국·미국·캐나다·영국 시험제도 비교</w:t>
            </w:r>
          </w:p>
        </w:tc>
      </w:tr>
      <w:tr w:rsidR="009833E6" w14:paraId="0431B832" w14:textId="77777777" w:rsidTr="00F371C6">
        <w:trPr>
          <w:trHeight w:val="251"/>
        </w:trPr>
        <w:tc>
          <w:tcPr>
            <w:tcW w:w="6822" w:type="dxa"/>
            <w:tcBorders>
              <w:top w:val="none" w:sz="2" w:space="0" w:color="auto"/>
              <w:left w:val="none" w:sz="2" w:space="0" w:color="auto"/>
              <w:bottom w:val="none" w:sz="2" w:space="0" w:color="auto"/>
              <w:right w:val="none" w:sz="2" w:space="0" w:color="auto"/>
              <w:tl2br w:val="nil"/>
              <w:tr2bl w:val="nil"/>
            </w:tcBorders>
            <w:tcMar>
              <w:top w:w="56" w:type="dxa"/>
              <w:left w:w="113" w:type="dxa"/>
              <w:bottom w:w="56" w:type="dxa"/>
              <w:right w:w="113" w:type="dxa"/>
            </w:tcMar>
            <w:vAlign w:val="center"/>
          </w:tcPr>
          <w:p w14:paraId="71988BA2" w14:textId="5F7EFCD4" w:rsidR="009833E6" w:rsidRDefault="001F665C" w:rsidP="00F371C6">
            <w:pPr>
              <w:pStyle w:val="ae"/>
              <w:spacing w:line="240" w:lineRule="auto"/>
            </w:pPr>
            <w:r>
              <w:rPr>
                <w:position w:val="0"/>
                <w:sz w:val="22"/>
                <w:szCs w:val="22"/>
              </w:rPr>
              <w:t xml:space="preserve">Assessing Data Science Competence in Actuarial Qualification: A Comparison of Korea, the United States, Canada and the United Kingdom</w:t>
            </w:r>
          </w:p>
        </w:tc>
      </w:tr>
      <w:tr w:rsidR="009833E6" w14:paraId="39B69DD6" w14:textId="77777777" w:rsidTr="00F371C6">
        <w:trPr>
          <w:trHeight w:val="75"/>
        </w:trPr>
        <w:tc>
          <w:tcPr>
            <w:tcW w:w="6822" w:type="dxa"/>
            <w:tcBorders>
              <w:top w:val="none" w:sz="2" w:space="0" w:color="auto"/>
              <w:left w:val="none" w:sz="2" w:space="0" w:color="auto"/>
              <w:bottom w:val="thinThickSmallGap" w:sz="15" w:space="0" w:color="000000"/>
              <w:right w:val="none" w:sz="2" w:space="0" w:color="auto"/>
              <w:tl2br w:val="nil"/>
              <w:tr2bl w:val="nil"/>
            </w:tcBorders>
            <w:tcMar>
              <w:top w:w="29" w:type="dxa"/>
              <w:left w:w="113" w:type="dxa"/>
              <w:bottom w:w="28" w:type="dxa"/>
              <w:right w:w="113" w:type="dxa"/>
            </w:tcMar>
            <w:vAlign w:val="center"/>
          </w:tcPr>
          <w:p w14:paraId="027410D6" w14:textId="77777777" w:rsidR="009833E6" w:rsidRDefault="003F4981" w:rsidP="00F371C6">
            <w:pPr>
              <w:pStyle w:val="ae"/>
              <w:spacing w:line="240" w:lineRule="auto"/>
              <w:rPr>
                <w:sz w:val="20"/>
              </w:rPr>
            </w:pPr>
            <w:r>
              <w:fldChar w:fldCharType="begin"/>
            </w:r>
            <w:r>
              <w:fldChar w:fldCharType="end"/>
            </w:r>
            <w:r>
              <w:fldChar w:fldCharType="begin"/>
            </w:r>
            <w:r>
              <w:fldChar w:fldCharType="end"/>
            </w:r>
          </w:p>
        </w:tc>
      </w:tr>
      <w:tr w:rsidR="009833E6" w14:paraId="68C3B645" w14:textId="77777777" w:rsidTr="00F371C6">
        <w:trPr>
          <w:trHeight w:val="251"/>
        </w:trPr>
        <w:tc>
          <w:tcPr>
            <w:tcW w:w="6822" w:type="dxa"/>
            <w:tcBorders>
              <w:top w:val="thinThickSmallGap" w:sz="15" w:space="0" w:color="000000"/>
              <w:left w:val="none" w:sz="2" w:space="0" w:color="auto"/>
              <w:bottom w:val="none" w:sz="2" w:space="0" w:color="auto"/>
              <w:right w:val="none" w:sz="2" w:space="0" w:color="auto"/>
              <w:tl2br w:val="nil"/>
              <w:tr2bl w:val="nil"/>
            </w:tcBorders>
            <w:tcMar>
              <w:top w:w="56" w:type="dxa"/>
              <w:left w:w="113" w:type="dxa"/>
              <w:bottom w:w="56" w:type="dxa"/>
              <w:right w:w="113" w:type="dxa"/>
            </w:tcMar>
            <w:vAlign w:val="center"/>
          </w:tcPr>
          <w:p w14:paraId="2DD1E826" w14:textId="6B0A7C5E" w:rsidR="009833E6" w:rsidRDefault="009833E6" w:rsidP="00F371C6">
            <w:pPr>
              <w:pStyle w:val="ab"/>
              <w:spacing w:line="240" w:lineRule="auto"/>
              <w:rPr>
                <w:rFonts w:ascii="-윤명조130" w:eastAsia="-윤명조130"/>
                <w:w w:val="100"/>
                <w:position w:val="2"/>
                <w:sz w:val="22"/>
              </w:rPr>
            </w:pPr>
            <w:r>
              <w:rPr>
                <w:position w:val="0"/>
              </w:rPr>
              <w:t xml:space="preserve">[저자명]*</w:t>
            </w:r>
          </w:p>
        </w:tc>
      </w:tr>
      <w:tr w:rsidR="009833E6" w14:paraId="701F6548" w14:textId="77777777" w:rsidTr="00F371C6">
        <w:trPr>
          <w:trHeight w:val="186"/>
        </w:trPr>
        <w:tc>
          <w:tcPr>
            <w:tcW w:w="6822" w:type="dxa"/>
            <w:tcBorders>
              <w:top w:val="none" w:sz="2" w:space="0" w:color="auto"/>
              <w:left w:val="none" w:sz="2" w:space="0" w:color="auto"/>
              <w:bottom w:val="none" w:sz="2" w:space="0" w:color="auto"/>
              <w:right w:val="none" w:sz="2" w:space="0" w:color="auto"/>
              <w:tl2br w:val="nil"/>
              <w:tr2bl w:val="nil"/>
            </w:tcBorders>
            <w:tcMar>
              <w:top w:w="56" w:type="dxa"/>
              <w:left w:w="113" w:type="dxa"/>
              <w:bottom w:w="113" w:type="dxa"/>
              <w:right w:w="113" w:type="dxa"/>
            </w:tcMar>
            <w:vAlign w:val="center"/>
          </w:tcPr>
          <w:p w14:paraId="3734654F" w14:textId="376A849A" w:rsidR="009833E6" w:rsidRDefault="009833E6" w:rsidP="00F371C6">
            <w:pPr>
              <w:pStyle w:val="ac"/>
              <w:spacing w:line="240" w:lineRule="auto"/>
            </w:pPr>
            <w:r>
              <w:rPr>
                <w:position w:val="0"/>
              </w:rPr>
              <w:t xml:space="preserve">([Author Name]*)</w:t>
            </w:r>
          </w:p>
        </w:tc>
      </w:tr>
      <w:tr w:rsidR="009833E6" w14:paraId="0B31B2C3" w14:textId="77777777" w:rsidTr="00F371C6">
        <w:trPr>
          <w:trHeight w:val="2635"/>
        </w:trPr>
        <w:tc>
          <w:tcPr>
            <w:tcW w:w="6822" w:type="dxa"/>
            <w:tcBorders>
              <w:top w:val="none" w:sz="2" w:space="0" w:color="auto"/>
              <w:left w:val="none" w:sz="4" w:space="0" w:color="auto"/>
              <w:bottom w:val="none" w:sz="4" w:space="0" w:color="auto"/>
              <w:right w:val="none" w:sz="4" w:space="0" w:color="auto"/>
              <w:tl2br w:val="nil"/>
              <w:tr2bl w:val="nil"/>
            </w:tcBorders>
            <w:shd w:val="clear" w:color="auto" w:fill="E5E5E5"/>
            <w:tcMar>
              <w:top w:w="226" w:type="dxa"/>
              <w:left w:w="170" w:type="dxa"/>
              <w:bottom w:w="226" w:type="dxa"/>
              <w:right w:w="170" w:type="dxa"/>
            </w:tcMar>
            <w:vAlign w:val="center"/>
          </w:tcPr>
          <w:p w14:paraId="7F7D7656" w14:textId="321073A8" w:rsidR="009833E6" w:rsidRPr="00DA1C34" w:rsidRDefault="00E57EA8">
            <w:pPr>
              <w:pStyle w:val="a8"/>
              <w:rPr>
                <w:rFonts w:ascii="Times New Roman"/>
              </w:rPr>
            </w:pPr>
            <w:r>
              <w:rPr>
                <w:position w:val="0"/>
              </w:rPr>
              <w:t xml:space="preserve">본 연구는 다변화하는 위험과 고도화하는 위험관리 기법에 대응하기 위하여 한국 보험계리사 시험에 통계 및 데이터사이언스 관련 평가를 확대할 필요가 있는지를 검토한다. 이를 위해 미국계리사협회(SOA)의 현행 자격 경로를 기준으로 데이터사이언스 역량을 기초이론, 기초실습, 과제형 심화실습의 세 단계로 구분하는 비교 틀을 설정하고, 한국 보험계리사 시험과 SOA, 미국손해보험계리사협회(CAS), 캐나다계리사협회(CIA), 영국계리사협회(IFoA)의 시험제도를 각 기관의 공개 자료에 근거하여 비교하였다. 분석 결과 해외 4개 기관은 평가 방식은 서로 다르지만 모두 통계적 학습 이론을 자격 요건에 포함하고, 소프트웨어와 데이터를 활용하는 실습형 평가를 운영하고 있었다. 반면 한국 시험에는 이에 대응하는 명시적 평가 요소가 확인되지 않았다. 이러한 결과를 바탕으로 출제범위의 단계적 확대와 실습형 평가의 도입 방안을 논의한다.</w:t>
            </w:r>
          </w:p>
        </w:tc>
      </w:tr>
    </w:tbl>
    <w:p w14:paraId="0CA39D83" w14:textId="77777777" w:rsidR="009833E6" w:rsidRDefault="009833E6">
      <w:pPr>
        <w:rPr>
          <w:sz w:val="4"/>
        </w:rPr>
      </w:pPr>
    </w:p>
    <w:tbl>
      <w:tblPr>
        <w:tblW w:w="6919" w:type="dxa"/>
        <w:tblBorders>
          <w:top w:val="single" w:sz="2" w:space="0" w:color="000000"/>
          <w:left w:val="single" w:sz="2" w:space="0" w:color="000000"/>
          <w:bottom w:val="single" w:sz="2" w:space="0" w:color="000000"/>
          <w:right w:val="single" w:sz="2" w:space="0" w:color="000000"/>
        </w:tblBorders>
        <w:tblCellMar>
          <w:top w:w="28" w:type="dxa"/>
          <w:left w:w="102" w:type="dxa"/>
          <w:bottom w:w="28" w:type="dxa"/>
          <w:right w:w="102" w:type="dxa"/>
        </w:tblCellMar>
        <w:tblLook w:val="0000" w:firstRow="0" w:lastRow="0" w:firstColumn="0" w:lastColumn="0" w:noHBand="0" w:noVBand="0"/>
      </w:tblPr>
      <w:tblGrid>
        <w:gridCol w:w="1025"/>
        <w:gridCol w:w="5894"/>
      </w:tblGrid>
      <w:tr w:rsidR="009833E6" w14:paraId="502F86B9" w14:textId="77777777">
        <w:trPr>
          <w:trHeight w:val="236"/>
        </w:trPr>
        <w:tc>
          <w:tcPr>
            <w:tcW w:w="1025" w:type="dxa"/>
            <w:tcBorders>
              <w:top w:val="none" w:sz="2" w:space="0" w:color="auto"/>
              <w:left w:val="none" w:sz="2" w:space="0" w:color="auto"/>
              <w:bottom w:val="none" w:sz="2" w:space="0" w:color="auto"/>
              <w:right w:val="none" w:sz="2" w:space="0" w:color="auto"/>
              <w:tl2br w:val="nil"/>
              <w:tr2bl w:val="nil"/>
            </w:tcBorders>
            <w:tcMar>
              <w:top w:w="0" w:type="dxa"/>
              <w:left w:w="0" w:type="dxa"/>
              <w:bottom w:w="0" w:type="dxa"/>
              <w:right w:w="0" w:type="dxa"/>
            </w:tcMar>
          </w:tcPr>
          <w:p w14:paraId="7BDE66AE" w14:textId="042498A5" w:rsidR="009833E6" w:rsidRDefault="00E57EA8" w:rsidP="001F665C">
            <w:pPr>
              <w:pStyle w:val="a6"/>
              <w:rPr>
                <w:rFonts w:ascii="KoPub돋움체 Medium" w:eastAsia="KoPub돋움체 Medium"/>
              </w:rPr>
            </w:pPr>
            <w:r>
              <w:rPr>
                <w:rFonts w:ascii="KoPub돋움체 Medium" w:eastAsia="KoPub돋움체 Medium" w:hAnsi="KoPub돋움체 Medium"/>
                <w:position w:val="0"/>
              </w:rPr>
              <w:t xml:space="preserve">주제어:</w:t>
            </w:r>
          </w:p>
        </w:tc>
        <w:tc>
          <w:tcPr>
            <w:tcW w:w="5893" w:type="dxa"/>
            <w:tcBorders>
              <w:top w:val="none" w:sz="2" w:space="0" w:color="auto"/>
              <w:left w:val="none" w:sz="2" w:space="0" w:color="auto"/>
              <w:bottom w:val="none" w:sz="2" w:space="0" w:color="auto"/>
              <w:right w:val="none" w:sz="2" w:space="0" w:color="auto"/>
              <w:tl2br w:val="nil"/>
              <w:tr2bl w:val="nil"/>
            </w:tcBorders>
            <w:tcMar>
              <w:top w:w="0" w:type="dxa"/>
              <w:left w:w="0" w:type="dxa"/>
              <w:bottom w:w="0" w:type="dxa"/>
              <w:right w:w="0" w:type="dxa"/>
            </w:tcMar>
          </w:tcPr>
          <w:p w14:paraId="1E1614FA" w14:textId="77777777" w:rsidR="009833E6" w:rsidRDefault="003F4981">
            <w:pPr>
              <w:pStyle w:val="a6"/>
            </w:pPr>
            <w:r>
              <w:rPr>
                <w:position w:val="0"/>
              </w:rPr>
              <w:t xml:space="preserve">보험계리사 시험, 데이터사이언스, 예측분석, 계리사 교육, 자격제도 비교</w:t>
            </w:r>
            <w:r>
              <w:rPr>
                <w:color w:val="FFFFFF"/>
              </w:rPr>
              <w:footnoteReference w:id="1"/>
            </w:r>
          </w:p>
        </w:tc>
      </w:tr>
    </w:tbl>
    <w:p>
      <w:r>
        <w:br w:type="page"/>
      </w:r>
    </w:p>
    <w:p>
      <w:pPr>
        <w:pStyle w:val="a4"/>
        <w:keepNext/>
      </w:pPr>
      <w:r>
        <w:rPr>
          <w:position w:val="0"/>
        </w:rPr>
        <w:t xml:space="preserve">Ⅰ. 서론</w:t>
      </w:r>
    </w:p>
    <w:p>
      <w:pPr>
        <w:pStyle w:val="a3"/>
        <w:keepNext/>
      </w:pPr>
    </w:p>
    <w:p>
      <w:pPr>
        <w:pStyle w:val="1"/>
        <w:ind w:firstLine="200"/>
        <w:rPr>
          <w:position w:val="0"/>
        </w:rPr>
      </w:pPr>
      <w:r>
        <w:rPr>
          <w:position w:val="0"/>
          <w:sz w:val="20"/>
          <w:szCs w:val="20"/>
        </w:rPr>
        <w:t xml:space="preserve">보험회사가 관리해야 하는 위험은 기후 변화, 인구 고령화, 사이버 위험 등으로 다변화하고 있으며, 이를 측정하고 관리하는 기법 역시 일반화선형모형(GLM)을 넘어 트리 기반 앙상블, 비지도학습 등 통계적 학습 방법으로 확장되고 있다. 이에 따라 주요국 계리사 단체는 최근 수년간 자격시험에서 통계 및 데이터사이언스 역량을 평가하는 비중을 꾸준히 늘려 왔다. 미국계리사협회(Society of Actuaries, 이하 SOA)는 위험모형 통계(SRM), 예측분석(PA), 예측분석 심화(ATPA)로 이어지는 평가 체계를 갖추었고, 미국손해보험계리사협회(Casualty Actuarial Society, 이하 CAS)는 2026년부터 예측분석 시험과 과제형 프로젝트를 준회원 자격의 필수 요건으로 지정하였다(CAS, 2024).</w:t>
      </w:r>
    </w:p>
    <w:p>
      <w:pPr>
        <w:pStyle w:val="1"/>
        <w:ind w:firstLine="200"/>
        <w:rPr>
          <w:position w:val="0"/>
        </w:rPr>
      </w:pPr>
      <w:r>
        <w:rPr>
          <w:position w:val="0"/>
          <w:sz w:val="20"/>
          <w:szCs w:val="20"/>
        </w:rPr>
        <w:t xml:space="preserve">국내에서는 IFRS 17과 신지급여력제도(K-ICS)의 시행 이후 보험계리사 수요가 크게 늘었으나, 보험연구원은 현행 보험계리사 시험이 실무와 충분히 연계되지 못하고 있다고 지적한 바 있다(CEO스코어데일리, 2026). 그러나 국내 시험이 데이터사이언스 역량을 어느 정도 평가하고 있는지를 해외 제도와 체계적으로 비교한 자료는 많지 않다.</w:t>
      </w:r>
    </w:p>
    <w:p>
      <w:pPr>
        <w:pStyle w:val="1"/>
        <w:ind w:firstLine="200"/>
        <w:rPr>
          <w:position w:val="0"/>
        </w:rPr>
      </w:pPr>
      <w:r>
        <w:rPr>
          <w:position w:val="0"/>
          <w:sz w:val="20"/>
          <w:szCs w:val="20"/>
        </w:rPr>
        <w:t xml:space="preserve">본 연구는 SOA의 평가 체계를 기준으로 데이터사이언스 역량을 기초이론, 기초실습, 과제형 심화실습의 세 단계로 구분하고, 한국 보험계리사 시험과 SOA, CAS, 캐나다계리사협회(Canadian Institute of Actuaries, 이하 CIA), 영국계리사협회(Institute and Faculty of Actuaries, 이하 IFoA)의 시험제도를 이 틀에 따라 비교한다. 이를 통해 한국 시험제도의 공백을 확인하고 개선 방향을 제시하는 것이 본 연구의 목적이다. 분석은 2026년 10월 현재 각 기관이 공개한 시험 안내, 출제범위, 자격 경로 자료에 근거하였다.</w:t>
      </w:r>
    </w:p>
    <w:p>
      <w:pPr>
        <w:pStyle w:val="1"/>
        <w:ind w:firstLine="200"/>
        <w:rPr>
          <w:position w:val="0"/>
        </w:rPr>
      </w:pPr>
      <w:r>
        <w:rPr>
          <w:position w:val="0"/>
          <w:sz w:val="20"/>
          <w:szCs w:val="20"/>
        </w:rPr>
        <w:t xml:space="preserve">본 논문의 구성은 다음과 같다. Ⅱ장에서는 비교 틀을 제시하고, Ⅲ장에서는 기관별 시험제도를 검토한다. Ⅳ장에서는 비교 결과를 종합하고 시사점을 도출하며, Ⅴ장에서 결론과 연구의 한계를 서술한다.</w:t>
      </w:r>
    </w:p>
    <w:p>
      <w:pPr>
        <w:pStyle w:val="a3"/>
      </w:pPr>
    </w:p>
    <w:p>
      <w:pPr>
        <w:pStyle w:val="a4"/>
        <w:keepNext/>
      </w:pPr>
      <w:r>
        <w:rPr>
          <w:position w:val="0"/>
        </w:rPr>
        <w:t xml:space="preserve">Ⅱ. 비교 틀</w:t>
      </w:r>
    </w:p>
    <w:p>
      <w:pPr>
        <w:pStyle w:val="a3"/>
        <w:keepNext/>
      </w:pPr>
    </w:p>
    <w:p>
      <w:pPr>
        <w:pStyle w:val="1"/>
        <w:ind w:firstLine="200"/>
        <w:rPr>
          <w:position w:val="0"/>
        </w:rPr>
      </w:pPr>
      <w:r>
        <w:rPr>
          <w:position w:val="0"/>
          <w:sz w:val="20"/>
          <w:szCs w:val="20"/>
        </w:rPr>
        <w:t xml:space="preserve">SOA의 준회원(ASA) 경로는 데이터사이언스 역량을 서로 다른 형식의 세 가지 평가로 나누어 검증한다. 위험모형 통계(Statistics for Risk Modeling, SRM) 시험은 회귀 및 시계열 모형, 주성분분석, 의사결정나무, 군집분석과 모형 선택 및 검증 방법을 평가한다(SOA, 2026c). 예측분석(Predictive Analytics, PA) 시험은 e-러닝 모듈과 시험으로 구성되며, 주어진 데이터셋을 이용하여 비즈니스 문제를 해결하는 능력을 평가한다(SOA, 2026b). 예측분석 심화(Advanced Topics in Predictive Analytics, ATPA) 평가는 데이터사이언스와 예측분석 기법으로 문제를 해결하고 그 결과를 효과적으로 소통하는 능력을 다루며, 수리통계, 확률, SRM, PA의 내용을 선수지식으로 전제한다(SOA, 2026a).</w:t>
      </w:r>
    </w:p>
    <w:p>
      <w:pPr>
        <w:pStyle w:val="1"/>
        <w:ind w:firstLine="200"/>
        <w:rPr>
          <w:position w:val="0"/>
        </w:rPr>
      </w:pPr>
      <w:r>
        <w:rPr>
          <w:position w:val="0"/>
          <w:sz w:val="20"/>
          <w:szCs w:val="20"/>
        </w:rPr>
        <w:t xml:space="preserve">본 연구는 이 구조를 &lt;표 1&gt;과 같이 일반화하여 비교의 기준으로 삼는다. 각 단계는 평가 형식으로 구분되며, 이론 시험만으로는 기초실습이나 과제형 심화실습 단계를 충족한 것으로 보지 않는다.</w:t>
      </w:r>
    </w:p>
    <w:p>
      <w:pPr>
        <w:pStyle w:val="1"/>
        <w:keepNext/>
        <w:spacing w:before="160" w:after="80"/>
        <w:ind w:firstLine="0"/>
        <w:jc w:val="center"/>
      </w:pPr>
      <w:r>
        <w:rPr>
          <w:b/>
          <w:position w:val="0"/>
          <w:sz w:val="18"/>
          <w:szCs w:val="18"/>
        </w:rPr>
        <w:t xml:space="preserve">&lt;표 1&gt; 데이터사이언스 역량 평가의 비교 틀</w:t>
      </w:r>
    </w:p>
    <w:tbl>
      <w:tblPr>
        <w:tblW w:w="7031" w:type="dxa"/>
        <w:jc w:val="center"/>
        <w:tblBorders>
          <w:top w:val="single" w:sz="12" w:space="0" w:color="000000"/>
          <w:bottom w:val="single" w:sz="12" w:space="0" w:color="000000"/>
          <w:insideH w:val="single" w:sz="4" w:space="0" w:color="808080"/>
          <w:insideV w:val="single" w:sz="4" w:space="0" w:color="808080"/>
        </w:tblBorders>
        <w:tblLayout w:type="fixed"/>
        <w:tblLook w:val="0000"/>
      </w:tblPr>
      <w:tblGrid>
        <w:gridCol w:w="1500"/>
        <w:gridCol w:w="1500"/>
        <w:gridCol w:w="4031"/>
      </w:tblGrid>
      <w:tr>
        <w:trPr>
          <w:tblHeader/>
          <w:cantSplit/>
        </w:trPr>
        <w:tc>
          <w:tcPr>
            <w:tcW w:w="1500" w:type="dxa"/>
            <w:shd w:val="clear" w:color="auto" w:fill="E5E5E5"/>
            <w:tcMar>
              <w:top w:w="40" w:type="dxa"/>
              <w:left w:w="70" w:type="dxa"/>
              <w:bottom w:w="40" w:type="dxa"/>
              <w:right w:w="70" w:type="dxa"/>
            </w:tcMar>
            <w:vAlign w:val="center"/>
          </w:tcPr>
          <w:p>
            <w:pPr>
              <w:keepNext/>
              <w:spacing w:line="250" w:lineRule="auto"/>
              <w:jc w:val="center"/>
            </w:pPr>
            <w:r>
              <w:rPr>
                <w:b/>
                <w:position w:val="0"/>
                <w:sz w:val="15"/>
                <w:szCs w:val="15"/>
              </w:rPr>
              <w:t xml:space="preserve">단계</w:t>
            </w:r>
          </w:p>
        </w:tc>
        <w:tc>
          <w:tcPr>
            <w:tcW w:w="1500" w:type="dxa"/>
            <w:shd w:val="clear" w:color="auto" w:fill="E5E5E5"/>
            <w:tcMar>
              <w:top w:w="40" w:type="dxa"/>
              <w:left w:w="70" w:type="dxa"/>
              <w:bottom w:w="40" w:type="dxa"/>
              <w:right w:w="70" w:type="dxa"/>
            </w:tcMar>
            <w:vAlign w:val="center"/>
          </w:tcPr>
          <w:p>
            <w:pPr>
              <w:keepNext/>
              <w:spacing w:line="250" w:lineRule="auto"/>
              <w:jc w:val="center"/>
            </w:pPr>
            <w:r>
              <w:rPr>
                <w:b/>
                <w:position w:val="0"/>
                <w:sz w:val="15"/>
                <w:szCs w:val="15"/>
              </w:rPr>
              <w:t xml:space="preserve">SOA 대표 평가</w:t>
            </w:r>
          </w:p>
        </w:tc>
        <w:tc>
          <w:tcPr>
            <w:tcW w:w="4031" w:type="dxa"/>
            <w:shd w:val="clear" w:color="auto" w:fill="E5E5E5"/>
            <w:tcMar>
              <w:top w:w="40" w:type="dxa"/>
              <w:left w:w="70" w:type="dxa"/>
              <w:bottom w:w="40" w:type="dxa"/>
              <w:right w:w="70" w:type="dxa"/>
            </w:tcMar>
            <w:vAlign w:val="center"/>
          </w:tcPr>
          <w:p>
            <w:pPr>
              <w:keepNext/>
              <w:spacing w:line="250" w:lineRule="auto"/>
              <w:jc w:val="center"/>
            </w:pPr>
            <w:r>
              <w:rPr>
                <w:b/>
                <w:position w:val="0"/>
                <w:sz w:val="15"/>
                <w:szCs w:val="15"/>
              </w:rPr>
              <w:t xml:space="preserve">평가 대상 역량</w:t>
            </w:r>
          </w:p>
        </w:tc>
      </w:tr>
      <w:tr>
        <w:trPr>
          <w:cantSplit/>
        </w:trPr>
        <w:tc>
          <w:tcPr>
            <w:tcW w:w="1500" w:type="dxa"/>
            <w:tcMar>
              <w:top w:w="40" w:type="dxa"/>
              <w:left w:w="70" w:type="dxa"/>
              <w:bottom w:w="40" w:type="dxa"/>
              <w:right w:w="70" w:type="dxa"/>
            </w:tcMar>
            <w:vAlign w:val="center"/>
          </w:tcPr>
          <w:p>
            <w:pPr>
              <w:keepNext/>
              <w:spacing w:line="250" w:lineRule="auto"/>
              <w:jc w:val="center"/>
            </w:pPr>
            <w:r>
              <w:rPr>
                <w:b/>
                <w:position w:val="0"/>
                <w:sz w:val="15"/>
                <w:szCs w:val="15"/>
              </w:rPr>
              <w:t xml:space="preserve">기초이론</w:t>
            </w:r>
          </w:p>
        </w:tc>
        <w:tc>
          <w:tcPr>
            <w:tcW w:w="1500" w:type="dxa"/>
            <w:tcMar>
              <w:top w:w="40" w:type="dxa"/>
              <w:left w:w="70" w:type="dxa"/>
              <w:bottom w:w="40" w:type="dxa"/>
              <w:right w:w="70" w:type="dxa"/>
            </w:tcMar>
            <w:vAlign w:val="center"/>
          </w:tcPr>
          <w:p>
            <w:pPr>
              <w:keepNext/>
              <w:spacing w:line="250" w:lineRule="auto"/>
              <w:jc w:val="left"/>
            </w:pPr>
            <w:r>
              <w:rPr>
                <w:position w:val="0"/>
                <w:sz w:val="15"/>
                <w:szCs w:val="15"/>
              </w:rPr>
              <w:t xml:space="preserve">SRM</w:t>
            </w:r>
          </w:p>
        </w:tc>
        <w:tc>
          <w:tcPr>
            <w:tcW w:w="4031" w:type="dxa"/>
            <w:tcMar>
              <w:top w:w="40" w:type="dxa"/>
              <w:left w:w="70" w:type="dxa"/>
              <w:bottom w:w="40" w:type="dxa"/>
              <w:right w:w="70" w:type="dxa"/>
            </w:tcMar>
            <w:vAlign w:val="center"/>
          </w:tcPr>
          <w:p>
            <w:pPr>
              <w:keepNext/>
              <w:spacing w:line="250" w:lineRule="auto"/>
              <w:jc w:val="left"/>
            </w:pPr>
            <w:r>
              <w:rPr>
                <w:position w:val="0"/>
                <w:sz w:val="15"/>
                <w:szCs w:val="15"/>
              </w:rPr>
              <w:t xml:space="preserve">통계적 학습 방법론(회귀·GLM, 트리, 주성분분석, 군집분석 등)과 모형 선택·검증에 대한 이론적 이해</w:t>
            </w:r>
          </w:p>
        </w:tc>
      </w:tr>
      <w:tr>
        <w:trPr>
          <w:cantSplit/>
        </w:trPr>
        <w:tc>
          <w:tcPr>
            <w:tcW w:w="1500" w:type="dxa"/>
            <w:tcMar>
              <w:top w:w="40" w:type="dxa"/>
              <w:left w:w="70" w:type="dxa"/>
              <w:bottom w:w="40" w:type="dxa"/>
              <w:right w:w="70" w:type="dxa"/>
            </w:tcMar>
            <w:vAlign w:val="center"/>
          </w:tcPr>
          <w:p>
            <w:pPr>
              <w:keepNext/>
              <w:spacing w:line="250" w:lineRule="auto"/>
              <w:jc w:val="center"/>
            </w:pPr>
            <w:r>
              <w:rPr>
                <w:b/>
                <w:position w:val="0"/>
                <w:sz w:val="15"/>
                <w:szCs w:val="15"/>
              </w:rPr>
              <w:t xml:space="preserve">기초실습</w:t>
            </w:r>
          </w:p>
        </w:tc>
        <w:tc>
          <w:tcPr>
            <w:tcW w:w="1500" w:type="dxa"/>
            <w:tcMar>
              <w:top w:w="40" w:type="dxa"/>
              <w:left w:w="70" w:type="dxa"/>
              <w:bottom w:w="40" w:type="dxa"/>
              <w:right w:w="70" w:type="dxa"/>
            </w:tcMar>
            <w:vAlign w:val="center"/>
          </w:tcPr>
          <w:p>
            <w:pPr>
              <w:keepNext/>
              <w:spacing w:line="250" w:lineRule="auto"/>
              <w:jc w:val="left"/>
            </w:pPr>
            <w:r>
              <w:rPr>
                <w:position w:val="0"/>
                <w:sz w:val="15"/>
                <w:szCs w:val="15"/>
              </w:rPr>
              <w:t xml:space="preserve">PA</w:t>
            </w:r>
          </w:p>
        </w:tc>
        <w:tc>
          <w:tcPr>
            <w:tcW w:w="4031" w:type="dxa"/>
            <w:tcMar>
              <w:top w:w="40" w:type="dxa"/>
              <w:left w:w="70" w:type="dxa"/>
              <w:bottom w:w="40" w:type="dxa"/>
              <w:right w:w="70" w:type="dxa"/>
            </w:tcMar>
            <w:vAlign w:val="center"/>
          </w:tcPr>
          <w:p>
            <w:pPr>
              <w:keepNext/>
              <w:spacing w:line="250" w:lineRule="auto"/>
              <w:jc w:val="left"/>
            </w:pPr>
            <w:r>
              <w:rPr>
                <w:position w:val="0"/>
                <w:sz w:val="15"/>
                <w:szCs w:val="15"/>
              </w:rPr>
              <w:t xml:space="preserve">주어진 데이터셋과 소프트웨어를 활용하여 문제를 정의·분석하고 결과를 해석하는 능력</w:t>
            </w:r>
          </w:p>
        </w:tc>
      </w:tr>
      <w:tr>
        <w:trPr>
          <w:cantSplit/>
        </w:trPr>
        <w:tc>
          <w:tcPr>
            <w:tcW w:w="1500" w:type="dxa"/>
            <w:tcMar>
              <w:top w:w="40" w:type="dxa"/>
              <w:left w:w="70" w:type="dxa"/>
              <w:bottom w:w="40" w:type="dxa"/>
              <w:right w:w="70" w:type="dxa"/>
            </w:tcMar>
            <w:vAlign w:val="center"/>
          </w:tcPr>
          <w:p>
            <w:pPr>
              <w:spacing w:line="250" w:lineRule="auto"/>
              <w:jc w:val="center"/>
            </w:pPr>
            <w:r>
              <w:rPr>
                <w:b/>
                <w:position w:val="0"/>
                <w:sz w:val="15"/>
                <w:szCs w:val="15"/>
              </w:rPr>
              <w:t xml:space="preserve">과제형</w:t>
            </w:r>
          </w:p>
          <w:p>
            <w:pPr>
              <w:spacing w:line="250" w:lineRule="auto"/>
              <w:jc w:val="center"/>
            </w:pPr>
            <w:r>
              <w:rPr>
                <w:b/>
                <w:position w:val="0"/>
                <w:sz w:val="15"/>
                <w:szCs w:val="15"/>
              </w:rPr>
              <w:t xml:space="preserve">심화실습</w:t>
            </w:r>
          </w:p>
        </w:tc>
        <w:tc>
          <w:tcPr>
            <w:tcW w:w="1500" w:type="dxa"/>
            <w:tcMar>
              <w:top w:w="40" w:type="dxa"/>
              <w:left w:w="70" w:type="dxa"/>
              <w:bottom w:w="40" w:type="dxa"/>
              <w:right w:w="70" w:type="dxa"/>
            </w:tcMar>
            <w:vAlign w:val="center"/>
          </w:tcPr>
          <w:p>
            <w:pPr>
              <w:spacing w:line="250" w:lineRule="auto"/>
              <w:jc w:val="left"/>
            </w:pPr>
            <w:r>
              <w:rPr>
                <w:position w:val="0"/>
                <w:sz w:val="15"/>
                <w:szCs w:val="15"/>
              </w:rPr>
              <w:t xml:space="preserve">ATPA</w:t>
            </w:r>
          </w:p>
        </w:tc>
        <w:tc>
          <w:tcPr>
            <w:tcW w:w="4031" w:type="dxa"/>
            <w:tcMar>
              <w:top w:w="40" w:type="dxa"/>
              <w:left w:w="70" w:type="dxa"/>
              <w:bottom w:w="40" w:type="dxa"/>
              <w:right w:w="70" w:type="dxa"/>
            </w:tcMar>
            <w:vAlign w:val="center"/>
          </w:tcPr>
          <w:p>
            <w:pPr>
              <w:spacing w:line="250" w:lineRule="auto"/>
              <w:jc w:val="left"/>
            </w:pPr>
            <w:r>
              <w:rPr>
                <w:position w:val="0"/>
                <w:sz w:val="15"/>
                <w:szCs w:val="15"/>
              </w:rPr>
              <w:t xml:space="preserve">일정 기간 동안 실제와 유사한 과제를 수행하고 분석 결과를 보고서로 소통하는 능력</w:t>
            </w:r>
          </w:p>
        </w:tc>
      </w:tr>
    </w:tbl>
    <w:p>
      <w:pPr>
        <w:pStyle w:val="1"/>
        <w:spacing w:before="40" w:after="160" w:line="260" w:lineRule="auto"/>
        <w:ind w:firstLine="0"/>
      </w:pPr>
      <w:r>
        <w:rPr>
          <w:position w:val="0"/>
          <w:sz w:val="15"/>
          <w:szCs w:val="15"/>
        </w:rPr>
        <w:t xml:space="preserve">자료: SOA(2026a; 2026b; 2026c)를 바탕으로 저자 작성.</w:t>
      </w:r>
    </w:p>
    <w:p>
      <w:pPr>
        <w:pStyle w:val="a3"/>
      </w:pPr>
    </w:p>
    <w:p>
      <w:pPr>
        <w:pStyle w:val="a4"/>
        <w:keepNext/>
      </w:pPr>
      <w:r>
        <w:rPr>
          <w:position w:val="0"/>
        </w:rPr>
        <w:t xml:space="preserve">Ⅲ. 기관별 시험제도 검토</w:t>
      </w:r>
    </w:p>
    <w:p>
      <w:pPr>
        <w:pStyle w:val="a3"/>
        <w:keepNext/>
      </w:pPr>
    </w:p>
    <w:p>
      <w:pPr>
        <w:pStyle w:val="a3"/>
        <w:keepNext/>
      </w:pPr>
    </w:p>
    <w:p>
      <w:pPr>
        <w:pStyle w:val="11"/>
        <w:keepNext/>
        <w:ind w:left="200" w:firstLine="0"/>
      </w:pPr>
      <w:r>
        <w:rPr>
          <w:position w:val="0"/>
        </w:rPr>
        <w:t xml:space="preserve">1. 한국 보험계리사 시험</w:t>
      </w:r>
    </w:p>
    <w:p>
      <w:pPr>
        <w:pStyle w:val="a3"/>
        <w:keepNext/>
      </w:pPr>
    </w:p>
    <w:p>
      <w:pPr>
        <w:pStyle w:val="1"/>
        <w:ind w:firstLine="200"/>
        <w:rPr>
          <w:position w:val="0"/>
        </w:rPr>
      </w:pPr>
      <w:r>
        <w:rPr>
          <w:position w:val="0"/>
          <w:sz w:val="20"/>
          <w:szCs w:val="20"/>
        </w:rPr>
        <w:t xml:space="preserve">한국 보험계리사 시험은 금융감독원이 시행하고 보험개발원이 실무를 담당하는 국가자격시험이다</w:t>
      </w:r>
      <w:r>
        <w:rPr>
          <w:vertAlign w:val="superscript"/>
        </w:rPr>
        <w:footnoteReference w:id="2"/>
      </w:r>
      <w:r>
        <w:rPr>
          <w:position w:val="0"/>
          <w:sz w:val="20"/>
          <w:szCs w:val="20"/>
        </w:rPr>
        <w:t xml:space="preserve">. 시험은 1차와 2차로 나뉘며, 1차 시험은 보험계약법·보험업법·근로자퇴직급여보장법, 경제학원론, 보험수학, 회계원리의 객관식 과목과 공인영어성적으로 대체하는 영어로 구성된다(금융감독원, 2021). 2차 시험은 계리리스크관리, 보험수리학, 연금수리학, 계리모형론, 재무관리 및 금융공학의 5과목이며, 1차 시험 합격 후 5년 이내에 각 과목에서 60점 이상을 얻으면 최종 합격하는 과목별 합격제로 운영된다(조세금융신문, 2025).</w:t>
      </w:r>
    </w:p>
    <w:p>
      <w:pPr>
        <w:pStyle w:val="1"/>
        <w:ind w:firstLine="200"/>
        <w:rPr>
          <w:position w:val="0"/>
        </w:rPr>
      </w:pPr>
      <w:r>
        <w:rPr>
          <w:position w:val="0"/>
          <w:sz w:val="20"/>
          <w:szCs w:val="20"/>
        </w:rPr>
        <w:t xml:space="preserve">통계 관련 내용은 1차 보험수학의 확률·통계 기초와 2차 계리모형론에 포함되어 있다. 그러나 통계적 학습이나 예측모델링을 별도의 출제영역으로 명시한 과목은 확인되지 않으며, 모든 시험이 지필 형식으로 치러져 데이터와 소프트웨어를 직접 다루는 실습형 평가도 존재하지 않는다.</w:t>
      </w:r>
    </w:p>
    <w:p>
      <w:pPr>
        <w:pStyle w:val="1"/>
        <w:keepNext/>
        <w:spacing w:before="160" w:after="80"/>
        <w:ind w:firstLine="0"/>
        <w:jc w:val="center"/>
      </w:pPr>
      <w:r>
        <w:rPr>
          <w:b/>
          <w:position w:val="0"/>
          <w:sz w:val="18"/>
          <w:szCs w:val="18"/>
        </w:rPr>
        <w:t xml:space="preserve">&lt;표 2&gt; 한국 보험계리사 시험의 과목 구성</w:t>
      </w:r>
    </w:p>
    <w:tbl>
      <w:tblPr>
        <w:tblW w:w="7031" w:type="dxa"/>
        <w:jc w:val="center"/>
        <w:tblBorders>
          <w:top w:val="single" w:sz="12" w:space="0" w:color="000000"/>
          <w:bottom w:val="single" w:sz="12" w:space="0" w:color="000000"/>
          <w:insideH w:val="single" w:sz="4" w:space="0" w:color="808080"/>
          <w:insideV w:val="single" w:sz="4" w:space="0" w:color="808080"/>
        </w:tblBorders>
        <w:tblLayout w:type="fixed"/>
        <w:tblLook w:val="0000"/>
      </w:tblPr>
      <w:tblGrid>
        <w:gridCol w:w="1300"/>
        <w:gridCol w:w="3700"/>
        <w:gridCol w:w="2031"/>
      </w:tblGrid>
      <w:tr>
        <w:trPr>
          <w:tblHeader/>
          <w:cantSplit/>
        </w:trPr>
        <w:tc>
          <w:tcPr>
            <w:tcW w:w="1300" w:type="dxa"/>
            <w:shd w:val="clear" w:color="auto" w:fill="E5E5E5"/>
            <w:tcMar>
              <w:top w:w="40" w:type="dxa"/>
              <w:left w:w="70" w:type="dxa"/>
              <w:bottom w:w="40" w:type="dxa"/>
              <w:right w:w="70" w:type="dxa"/>
            </w:tcMar>
            <w:vAlign w:val="center"/>
          </w:tcPr>
          <w:p>
            <w:pPr>
              <w:keepNext/>
              <w:spacing w:line="250" w:lineRule="auto"/>
              <w:jc w:val="center"/>
            </w:pPr>
            <w:r>
              <w:rPr>
                <w:b/>
                <w:position w:val="0"/>
                <w:sz w:val="15"/>
                <w:szCs w:val="15"/>
              </w:rPr>
              <w:t xml:space="preserve">구분</w:t>
            </w:r>
          </w:p>
        </w:tc>
        <w:tc>
          <w:tcPr>
            <w:tcW w:w="3700" w:type="dxa"/>
            <w:shd w:val="clear" w:color="auto" w:fill="E5E5E5"/>
            <w:tcMar>
              <w:top w:w="40" w:type="dxa"/>
              <w:left w:w="70" w:type="dxa"/>
              <w:bottom w:w="40" w:type="dxa"/>
              <w:right w:w="70" w:type="dxa"/>
            </w:tcMar>
            <w:vAlign w:val="center"/>
          </w:tcPr>
          <w:p>
            <w:pPr>
              <w:keepNext/>
              <w:spacing w:line="250" w:lineRule="auto"/>
              <w:jc w:val="center"/>
            </w:pPr>
            <w:r>
              <w:rPr>
                <w:b/>
                <w:position w:val="0"/>
                <w:sz w:val="15"/>
                <w:szCs w:val="15"/>
              </w:rPr>
              <w:t xml:space="preserve">과목</w:t>
            </w:r>
          </w:p>
        </w:tc>
        <w:tc>
          <w:tcPr>
            <w:tcW w:w="2031" w:type="dxa"/>
            <w:shd w:val="clear" w:color="auto" w:fill="E5E5E5"/>
            <w:tcMar>
              <w:top w:w="40" w:type="dxa"/>
              <w:left w:w="70" w:type="dxa"/>
              <w:bottom w:w="40" w:type="dxa"/>
              <w:right w:w="70" w:type="dxa"/>
            </w:tcMar>
            <w:vAlign w:val="center"/>
          </w:tcPr>
          <w:p>
            <w:pPr>
              <w:keepNext/>
              <w:spacing w:line="250" w:lineRule="auto"/>
              <w:jc w:val="center"/>
            </w:pPr>
            <w:r>
              <w:rPr>
                <w:b/>
                <w:position w:val="0"/>
                <w:sz w:val="15"/>
                <w:szCs w:val="15"/>
              </w:rPr>
              <w:t xml:space="preserve">형식 및 합격 기준</w:t>
            </w:r>
          </w:p>
        </w:tc>
      </w:tr>
      <w:tr>
        <w:trPr>
          <w:cantSplit/>
        </w:trPr>
        <w:tc>
          <w:tcPr>
            <w:tcW w:w="1300" w:type="dxa"/>
            <w:tcMar>
              <w:top w:w="40" w:type="dxa"/>
              <w:left w:w="70" w:type="dxa"/>
              <w:bottom w:w="40" w:type="dxa"/>
              <w:right w:w="70" w:type="dxa"/>
            </w:tcMar>
            <w:vAlign w:val="center"/>
          </w:tcPr>
          <w:p>
            <w:pPr>
              <w:keepNext/>
              <w:spacing w:line="250" w:lineRule="auto"/>
              <w:jc w:val="center"/>
            </w:pPr>
            <w:r>
              <w:rPr>
                <w:b/>
                <w:position w:val="0"/>
                <w:sz w:val="15"/>
                <w:szCs w:val="15"/>
              </w:rPr>
              <w:t xml:space="preserve">1차 시험</w:t>
            </w:r>
          </w:p>
        </w:tc>
        <w:tc>
          <w:tcPr>
            <w:tcW w:w="3700" w:type="dxa"/>
            <w:tcMar>
              <w:top w:w="40" w:type="dxa"/>
              <w:left w:w="70" w:type="dxa"/>
              <w:bottom w:w="40" w:type="dxa"/>
              <w:right w:w="70" w:type="dxa"/>
            </w:tcMar>
            <w:vAlign w:val="center"/>
          </w:tcPr>
          <w:p>
            <w:pPr>
              <w:keepNext/>
              <w:spacing w:line="250" w:lineRule="auto"/>
              <w:jc w:val="left"/>
            </w:pPr>
            <w:r>
              <w:rPr>
                <w:position w:val="0"/>
                <w:sz w:val="15"/>
                <w:szCs w:val="15"/>
              </w:rPr>
              <w:t xml:space="preserve">보험계약법·보험업법·근로자퇴직급여보장법, 경제학원론, 보험수학, 회계원리, 영어(공인영어성적 대체)</w:t>
            </w:r>
          </w:p>
        </w:tc>
        <w:tc>
          <w:tcPr>
            <w:tcW w:w="2031" w:type="dxa"/>
            <w:tcMar>
              <w:top w:w="40" w:type="dxa"/>
              <w:left w:w="70" w:type="dxa"/>
              <w:bottom w:w="40" w:type="dxa"/>
              <w:right w:w="70" w:type="dxa"/>
            </w:tcMar>
            <w:vAlign w:val="center"/>
          </w:tcPr>
          <w:p>
            <w:pPr>
              <w:keepNext/>
              <w:spacing w:line="250" w:lineRule="auto"/>
              <w:jc w:val="left"/>
            </w:pPr>
            <w:r>
              <w:rPr>
                <w:position w:val="0"/>
                <w:sz w:val="15"/>
                <w:szCs w:val="15"/>
              </w:rPr>
              <w:t xml:space="preserve">객관식</w:t>
            </w:r>
          </w:p>
          <w:p>
            <w:pPr>
              <w:keepNext/>
              <w:spacing w:line="250" w:lineRule="auto"/>
              <w:jc w:val="left"/>
            </w:pPr>
            <w:r>
              <w:rPr>
                <w:position w:val="0"/>
                <w:sz w:val="15"/>
                <w:szCs w:val="15"/>
              </w:rPr>
              <w:t xml:space="preserve">매 과목 40점 이상, 평균 60점 이상</w:t>
            </w:r>
          </w:p>
        </w:tc>
      </w:tr>
      <w:tr>
        <w:trPr>
          <w:cantSplit/>
        </w:trPr>
        <w:tc>
          <w:tcPr>
            <w:tcW w:w="1300" w:type="dxa"/>
            <w:tcMar>
              <w:top w:w="40" w:type="dxa"/>
              <w:left w:w="70" w:type="dxa"/>
              <w:bottom w:w="40" w:type="dxa"/>
              <w:right w:w="70" w:type="dxa"/>
            </w:tcMar>
            <w:vAlign w:val="center"/>
          </w:tcPr>
          <w:p>
            <w:pPr>
              <w:spacing w:line="250" w:lineRule="auto"/>
              <w:jc w:val="center"/>
            </w:pPr>
            <w:r>
              <w:rPr>
                <w:b/>
                <w:position w:val="0"/>
                <w:sz w:val="15"/>
                <w:szCs w:val="15"/>
              </w:rPr>
              <w:t xml:space="preserve">2차 시험</w:t>
            </w:r>
          </w:p>
        </w:tc>
        <w:tc>
          <w:tcPr>
            <w:tcW w:w="3700" w:type="dxa"/>
            <w:tcMar>
              <w:top w:w="40" w:type="dxa"/>
              <w:left w:w="70" w:type="dxa"/>
              <w:bottom w:w="40" w:type="dxa"/>
              <w:right w:w="70" w:type="dxa"/>
            </w:tcMar>
            <w:vAlign w:val="center"/>
          </w:tcPr>
          <w:p>
            <w:pPr>
              <w:spacing w:line="250" w:lineRule="auto"/>
              <w:jc w:val="left"/>
            </w:pPr>
            <w:r>
              <w:rPr>
                <w:position w:val="0"/>
                <w:sz w:val="15"/>
                <w:szCs w:val="15"/>
              </w:rPr>
              <w:t xml:space="preserve">계리리스크관리, 보험수리학, 연금수리학, 계리모형론, 재무관리 및 금융공학</w:t>
            </w:r>
          </w:p>
        </w:tc>
        <w:tc>
          <w:tcPr>
            <w:tcW w:w="2031" w:type="dxa"/>
            <w:tcMar>
              <w:top w:w="40" w:type="dxa"/>
              <w:left w:w="70" w:type="dxa"/>
              <w:bottom w:w="40" w:type="dxa"/>
              <w:right w:w="70" w:type="dxa"/>
            </w:tcMar>
            <w:vAlign w:val="center"/>
          </w:tcPr>
          <w:p>
            <w:pPr>
              <w:spacing w:line="250" w:lineRule="auto"/>
              <w:jc w:val="left"/>
            </w:pPr>
            <w:r>
              <w:rPr>
                <w:position w:val="0"/>
                <w:sz w:val="15"/>
                <w:szCs w:val="15"/>
              </w:rPr>
              <w:t xml:space="preserve">주관식</w:t>
            </w:r>
          </w:p>
          <w:p>
            <w:pPr>
              <w:spacing w:line="250" w:lineRule="auto"/>
              <w:jc w:val="left"/>
            </w:pPr>
            <w:r>
              <w:rPr>
                <w:position w:val="0"/>
                <w:sz w:val="15"/>
                <w:szCs w:val="15"/>
              </w:rPr>
              <w:t xml:space="preserve">과목별 60점 이상(과목별 합격제)</w:t>
            </w:r>
          </w:p>
        </w:tc>
      </w:tr>
    </w:tbl>
    <w:p>
      <w:pPr>
        <w:pStyle w:val="1"/>
        <w:spacing w:before="40" w:after="160" w:line="260" w:lineRule="auto"/>
        <w:ind w:firstLine="0"/>
      </w:pPr>
      <w:r>
        <w:rPr>
          <w:position w:val="0"/>
          <w:sz w:val="15"/>
          <w:szCs w:val="15"/>
        </w:rPr>
        <w:t xml:space="preserve">자료: 금융감독원(2021), 조세금융신문(2025)을 바탕으로 저자 작성.</w:t>
      </w:r>
    </w:p>
    <w:p>
      <w:pPr>
        <w:pStyle w:val="a3"/>
        <w:keepNext/>
      </w:pPr>
    </w:p>
    <w:p>
      <w:pPr>
        <w:pStyle w:val="11"/>
        <w:keepNext/>
        <w:ind w:left="200" w:firstLine="0"/>
      </w:pPr>
      <w:r>
        <w:rPr>
          <w:position w:val="0"/>
        </w:rPr>
        <w:t xml:space="preserve">2. 미국계리사협회(SOA)</w:t>
      </w:r>
    </w:p>
    <w:p>
      <w:pPr>
        <w:pStyle w:val="a3"/>
        <w:keepNext/>
      </w:pPr>
    </w:p>
    <w:p>
      <w:pPr>
        <w:pStyle w:val="1"/>
        <w:ind w:firstLine="200"/>
        <w:rPr>
          <w:position w:val="0"/>
        </w:rPr>
      </w:pPr>
      <w:r>
        <w:rPr>
          <w:position w:val="0"/>
          <w:sz w:val="20"/>
          <w:szCs w:val="20"/>
        </w:rPr>
        <w:t xml:space="preserve">SOA는 세 단계를 모두 독립된 평가로 운영하는 유일한 기관이다. 기초이론에 해당하는 SRM은 객관식 컴퓨터 기반 시험으로, 회귀·시계열 모형과 주요 통계적 학습 기법을 다룬다(SOA, 2026c). 기초실습에 해당하는 PA는 e-러닝 모듈과 데이터셋 기반 시험을 결합한 형태이며(SOA, 2026b), 과제형 심화실습에 해당하는 ATPA는 e-러닝 모듈과 과제형 평가로 구성된다(SOA, 2026a). ATPA가 SRM과 PA의 내용을 선수지식으로 명시하고 있어, 세 평가는 이론에서 실습, 다시 과제 수행으로 이어지는 위계를 이룬다.</w:t>
      </w:r>
    </w:p>
    <w:p>
      <w:pPr>
        <w:pStyle w:val="a3"/>
        <w:keepNext/>
      </w:pPr>
    </w:p>
    <w:p>
      <w:pPr>
        <w:pStyle w:val="11"/>
        <w:keepNext/>
        <w:ind w:left="200" w:firstLine="0"/>
      </w:pPr>
      <w:r>
        <w:rPr>
          <w:position w:val="0"/>
        </w:rPr>
        <w:t xml:space="preserve">3. 미국손해보험계리사협회(CAS)</w:t>
      </w:r>
    </w:p>
    <w:p>
      <w:pPr>
        <w:pStyle w:val="a3"/>
        <w:keepNext/>
      </w:pPr>
    </w:p>
    <w:p>
      <w:pPr>
        <w:pStyle w:val="1"/>
        <w:ind w:firstLine="200"/>
        <w:rPr>
          <w:position w:val="0"/>
        </w:rPr>
      </w:pPr>
      <w:r>
        <w:rPr>
          <w:position w:val="0"/>
          <w:sz w:val="20"/>
          <w:szCs w:val="20"/>
        </w:rPr>
        <w:t xml:space="preserve">CAS에서 기초이론에 해당하는 시험은 현대계리통계(Modern Actuarial Statistics) I과 II(이하 MAS-I, MAS-II)이다. 두 시험은 2018년에 도입되었으며, MAS-I은 통계적 추론과 GLM을 포함한 응용모델링을, MAS-II는 신뢰도 이론과 함께 선형혼합모형, 베이지안 분석과 마르코프 연쇄 몬테카를로(MCMC), 통계적 학습을 다룬다(CAS, 2017). MAS-II 출제범위에서 통계적 학습의 비중은 40~50%이며, 교재로 James et al.(2021), Goldburd et al.(2020) 등을 사용한다(CAS, 2023).</w:t>
      </w:r>
    </w:p>
    <w:p>
      <w:pPr>
        <w:pStyle w:val="1"/>
        <w:ind w:firstLine="200"/>
        <w:rPr>
          <w:position w:val="0"/>
        </w:rPr>
      </w:pPr>
      <w:r>
        <w:rPr>
          <w:position w:val="0"/>
          <w:sz w:val="20"/>
          <w:szCs w:val="20"/>
        </w:rPr>
        <w:t xml:space="preserve">실습 단계에는 손해보험 예측분석(Property and Casualty Predictive Analytics, 이하 PCPA)이 대응한다. PCPA는 시험과 과제형 프로젝트의 두 부분으로 이루어진 준회원(ACAS) 요건으로, 2026년 1월 1일부터 적용되었다(CAS, 2024; CAS, 2025). PCPA 시험은 연중 상시 응시할 수 있는 2시간 객관식 시험이고, 프로젝트는 정해진 기간 동안 수행하는 과제형 평가이며, 시험에 합격해야 프로젝트에 등록할 수 있다(actuary.info, 2026). 따라서 PCPA 시험은 형식상 SOA의 PA와 부분적으로만 대응하며, PCPA 프로젝트는 ATPA와 성격이 가깝다.</w:t>
      </w:r>
    </w:p>
    <w:p>
      <w:pPr>
        <w:pStyle w:val="a3"/>
        <w:keepNext/>
      </w:pPr>
    </w:p>
    <w:p>
      <w:pPr>
        <w:pStyle w:val="11"/>
        <w:keepNext/>
        <w:ind w:left="200" w:firstLine="0"/>
      </w:pPr>
      <w:r>
        <w:rPr>
          <w:position w:val="0"/>
        </w:rPr>
        <w:t xml:space="preserve">4. 캐나다계리사협회(CIA)</w:t>
      </w:r>
    </w:p>
    <w:p>
      <w:pPr>
        <w:pStyle w:val="a3"/>
        <w:keepNext/>
      </w:pPr>
    </w:p>
    <w:p>
      <w:pPr>
        <w:pStyle w:val="1"/>
        <w:ind w:firstLine="200"/>
        <w:rPr>
          <w:position w:val="0"/>
        </w:rPr>
      </w:pPr>
      <w:r>
        <w:rPr>
          <w:position w:val="0"/>
          <w:sz w:val="20"/>
          <w:szCs w:val="20"/>
        </w:rPr>
        <w:t xml:space="preserve">CIA는 2023년부터 자체 교육체계를 도입하면서 데이터사이언스를 독립 시험으로 두지 않고 대학 교육과 CIA의 교육 모듈에 포함하는 방식을 택하였다. CIA는 예측분석 교육에 데이터셋과 프로그래밍·시각화 도구가 필요하므로 지필 시험보다 대학 교육이 적합하다는 입장을 밝힌 바 있다(Insurance Portal, 2021).</w:t>
      </w:r>
    </w:p>
    <w:p>
      <w:pPr>
        <w:pStyle w:val="1"/>
        <w:ind w:firstLine="200"/>
        <w:rPr>
          <w:position w:val="0"/>
        </w:rPr>
      </w:pPr>
      <w:r>
        <w:rPr>
          <w:position w:val="0"/>
          <w:sz w:val="20"/>
          <w:szCs w:val="20"/>
        </w:rPr>
        <w:t xml:space="preserve">기초이론은 CIA 인증 대학의 학위(Pathway 1)로 인정하거나, 다른 계리사 단체의 시험 크레딧으로 인정한다. Pathway 2에서 SOA 응시자는 SRM을, CAS 응시자는 MAS-I과 MAS-II를 보유해야 하며, SOA·CAS·IFoA 등 인정 단체의 준회원 자격 보유자는 그 자격 자체로 인정받는다(CIA, 2026a). 실습 단계는 모든 경로에 필수인 ACIA Module 2가 담당하며, 이 모듈에는 분량이 큰 예측분석 채점 과제가 포함된다(CIA, 2026b). SOA 응시자는 Exam PA를 제외한 준회원 요건을 인정받고 Module 2를 별도로 이수하므로(CIA, 2026c), Module 2는 사실상 PA를 대신하는 역할을 한다. 별도의 과제형 심화실습 과목은 없다</w:t>
      </w:r>
      <w:r>
        <w:rPr>
          <w:vertAlign w:val="superscript"/>
        </w:rPr>
        <w:footnoteReference w:id="3"/>
      </w:r>
      <w:r>
        <w:rPr>
          <w:position w:val="0"/>
          <w:sz w:val="20"/>
          <w:szCs w:val="20"/>
        </w:rPr>
        <w:t xml:space="preserve">.</w:t>
      </w:r>
    </w:p>
    <w:p>
      <w:pPr>
        <w:pStyle w:val="a3"/>
        <w:keepNext/>
      </w:pPr>
    </w:p>
    <w:p>
      <w:pPr>
        <w:pStyle w:val="11"/>
        <w:keepNext/>
        <w:ind w:left="200" w:firstLine="0"/>
      </w:pPr>
      <w:r>
        <w:rPr>
          <w:position w:val="0"/>
        </w:rPr>
        <w:t xml:space="preserve">5. 영국계리사협회(IFoA)</w:t>
      </w:r>
    </w:p>
    <w:p>
      <w:pPr>
        <w:pStyle w:val="a3"/>
        <w:keepNext/>
      </w:pPr>
    </w:p>
    <w:p>
      <w:pPr>
        <w:pStyle w:val="1"/>
        <w:ind w:firstLine="200"/>
        <w:rPr>
          <w:position w:val="0"/>
        </w:rPr>
      </w:pPr>
      <w:r>
        <w:rPr>
          <w:position w:val="0"/>
          <w:sz w:val="20"/>
          <w:szCs w:val="20"/>
        </w:rPr>
        <w:t xml:space="preserve">IFoA의 핵심원리(Core Principles) 과목 가운데 계리통계(CS1)와 위험모형 및 생존분석(CS2)이 기초이론에 해당한다. CS1은 통계적 추론, GLM을 포함한 회귀모형, 베이지안 통계의 기초를 다루고, CS2는 위험모형, 시계열 분석, 확률과정, 생존분석과 함께 머신러닝에 대한 개괄적 소개를 포함한다(IFoA, 2026a). 다만 SOA의 SRM이나 CAS의 MAS-II와 비교하면 통계적 학습 기법의 비중은 상대적으로 작다.</w:t>
      </w:r>
    </w:p>
    <w:p>
      <w:pPr>
        <w:pStyle w:val="1"/>
        <w:ind w:firstLine="200"/>
        <w:rPr>
          <w:position w:val="0"/>
        </w:rPr>
      </w:pPr>
      <w:r>
        <w:rPr>
          <w:position w:val="0"/>
          <w:sz w:val="20"/>
          <w:szCs w:val="20"/>
        </w:rPr>
        <w:t xml:space="preserve">IFoA의 특징은 이론 과목 안에 실습형 평가를 결합하였다는 점이다. CS1과 CS2는 각각 이론 중심의 A 시험(3시간 20분)과 R을 사용하는 문제해결형 B 시험(1시간 50분)으로 구성되며, 두 시험은 같은 회차에 응시해야 한다(IFoA, 2026a). 두 시험은 70대 30의 비율로 하나의 점수로 합산된다(IFoA, 2026b). 이와 별도로 핵심실무(Core Practices) 과목인 모델링 실무(CP2)는 주어진 시나리오와 데이터로 데이터 분석과 스프레드시트 모형 구축을 수행하고 감사 추적(audit trail)과 요약 보고서를 작성하게 하며, 문서화에 45%의 비중을 둔다(IFoA, 2025). CP2는 시간제한이 있는 시험이지만 모형 구축, 문서화, 결과 소통을 함께 평가한다는 점에서 과제형 평가의 요소를 일부 갖고 있다. 한편 IFoA는 2020년 사우샘프턴 대학교와 함께 데이터사이언스 인증과정(Certificate in Data Science)을 개설하였으나, 이는 자격 요건과 별개인 독립 과정이다(University of Southampton, 2020). 2026년 출제범위 변경에서도 CS1, CS2, CP2의 데이터사이언스 관련 내용에는 변화가 없었다(IFoA, 2026c).</w:t>
      </w:r>
    </w:p>
    <w:p>
      <w:pPr>
        <w:pStyle w:val="a3"/>
      </w:pPr>
    </w:p>
    <w:p>
      <w:pPr>
        <w:pStyle w:val="a4"/>
        <w:keepNext/>
      </w:pPr>
      <w:r>
        <w:rPr>
          <w:position w:val="0"/>
        </w:rPr>
        <w:t xml:space="preserve">Ⅳ. 비교 결과와 시사점</w:t>
      </w:r>
    </w:p>
    <w:p>
      <w:pPr>
        <w:pStyle w:val="a3"/>
        <w:keepNext/>
      </w:pPr>
    </w:p>
    <w:p>
      <w:pPr>
        <w:pStyle w:val="a3"/>
        <w:keepNext/>
      </w:pPr>
    </w:p>
    <w:p>
      <w:pPr>
        <w:pStyle w:val="11"/>
        <w:keepNext/>
        <w:ind w:left="200" w:firstLine="0"/>
      </w:pPr>
      <w:r>
        <w:rPr>
          <w:position w:val="0"/>
        </w:rPr>
        <w:t xml:space="preserve">1. 비교 결과</w:t>
      </w:r>
    </w:p>
    <w:p>
      <w:pPr>
        <w:pStyle w:val="a3"/>
        <w:keepNext/>
      </w:pPr>
    </w:p>
    <w:p>
      <w:pPr>
        <w:pStyle w:val="1"/>
        <w:ind w:firstLine="200"/>
        <w:rPr>
          <w:position w:val="0"/>
        </w:rPr>
      </w:pPr>
      <w:r>
        <w:rPr>
          <w:position w:val="0"/>
          <w:sz w:val="20"/>
          <w:szCs w:val="20"/>
        </w:rPr>
        <w:t xml:space="preserve">&lt;표 3&gt;은 Ⅲ장의 검토 결과를 비교 틀에 따라 정리한 것이다. 해외 4개 기관은 기초이론 단계를 모두 자격 요건에 포함하고 있으며, 그 방식은 독립 시험(SOA, CAS), 대학 교육 및 타 단체 크레딧 인정(CIA), 이론 과목 내 포함(IFoA)으로 나뉜다. 기초실습 단계 역시 4개 기관이 모두 운영하고 있으나 형식은 독립 시험(SOA의 PA, CAS의 PCPA 시험), 교육 모듈 내 과제(CIA의 Module 2), 이론 과목과 결합한 소프트웨어 기반 시험(IFoA의 CS1B·CS2B)으로 다양하다. 과제형 심화실습은 SOA와 CAS만 독립 평가로 운영하며, IFoA의 CP2는 이에 부분적으로 대응한다.</w:t>
      </w:r>
    </w:p>
    <w:p>
      <w:pPr>
        <w:pStyle w:val="1"/>
        <w:keepNext/>
        <w:spacing w:before="160" w:after="80"/>
        <w:ind w:firstLine="0"/>
        <w:jc w:val="center"/>
      </w:pPr>
      <w:r>
        <w:rPr>
          <w:b/>
          <w:position w:val="0"/>
          <w:sz w:val="18"/>
          <w:szCs w:val="18"/>
        </w:rPr>
        <w:t xml:space="preserve">&lt;표 3&gt; 기관별 데이터사이언스 역량 평가 체계</w:t>
      </w:r>
    </w:p>
    <w:tbl>
      <w:tblPr>
        <w:tblW w:w="7031" w:type="dxa"/>
        <w:jc w:val="center"/>
        <w:tblBorders>
          <w:top w:val="single" w:sz="12" w:space="0" w:color="000000"/>
          <w:bottom w:val="single" w:sz="12" w:space="0" w:color="000000"/>
          <w:insideH w:val="single" w:sz="4" w:space="0" w:color="808080"/>
          <w:insideV w:val="single" w:sz="4" w:space="0" w:color="808080"/>
        </w:tblBorders>
        <w:tblLayout w:type="fixed"/>
        <w:tblLook w:val="0000"/>
      </w:tblPr>
      <w:tblGrid>
        <w:gridCol w:w="1000"/>
        <w:gridCol w:w="2011"/>
        <w:gridCol w:w="2010"/>
        <w:gridCol w:w="2010"/>
      </w:tblGrid>
      <w:tr>
        <w:trPr>
          <w:tblHeader/>
          <w:cantSplit/>
        </w:trPr>
        <w:tc>
          <w:tcPr>
            <w:tcW w:w="1000" w:type="dxa"/>
            <w:shd w:val="clear" w:color="auto" w:fill="E5E5E5"/>
            <w:tcMar>
              <w:top w:w="40" w:type="dxa"/>
              <w:left w:w="70" w:type="dxa"/>
              <w:bottom w:w="40" w:type="dxa"/>
              <w:right w:w="70" w:type="dxa"/>
            </w:tcMar>
            <w:vAlign w:val="center"/>
          </w:tcPr>
          <w:p>
            <w:pPr>
              <w:keepNext/>
              <w:spacing w:line="250" w:lineRule="auto"/>
              <w:jc w:val="center"/>
            </w:pPr>
            <w:r>
              <w:rPr>
                <w:b/>
                <w:position w:val="0"/>
                <w:sz w:val="15"/>
                <w:szCs w:val="15"/>
              </w:rPr>
              <w:t xml:space="preserve">기관</w:t>
            </w:r>
          </w:p>
        </w:tc>
        <w:tc>
          <w:tcPr>
            <w:tcW w:w="2011" w:type="dxa"/>
            <w:shd w:val="clear" w:color="auto" w:fill="E5E5E5"/>
            <w:tcMar>
              <w:top w:w="40" w:type="dxa"/>
              <w:left w:w="70" w:type="dxa"/>
              <w:bottom w:w="40" w:type="dxa"/>
              <w:right w:w="70" w:type="dxa"/>
            </w:tcMar>
            <w:vAlign w:val="center"/>
          </w:tcPr>
          <w:p>
            <w:pPr>
              <w:keepNext/>
              <w:spacing w:line="250" w:lineRule="auto"/>
              <w:jc w:val="center"/>
            </w:pPr>
            <w:r>
              <w:rPr>
                <w:b/>
                <w:position w:val="0"/>
                <w:sz w:val="15"/>
                <w:szCs w:val="15"/>
              </w:rPr>
              <w:t xml:space="preserve">기초이론</w:t>
            </w:r>
          </w:p>
        </w:tc>
        <w:tc>
          <w:tcPr>
            <w:tcW w:w="2010" w:type="dxa"/>
            <w:shd w:val="clear" w:color="auto" w:fill="E5E5E5"/>
            <w:tcMar>
              <w:top w:w="40" w:type="dxa"/>
              <w:left w:w="70" w:type="dxa"/>
              <w:bottom w:w="40" w:type="dxa"/>
              <w:right w:w="70" w:type="dxa"/>
            </w:tcMar>
            <w:vAlign w:val="center"/>
          </w:tcPr>
          <w:p>
            <w:pPr>
              <w:keepNext/>
              <w:spacing w:line="250" w:lineRule="auto"/>
              <w:jc w:val="center"/>
            </w:pPr>
            <w:r>
              <w:rPr>
                <w:b/>
                <w:position w:val="0"/>
                <w:sz w:val="15"/>
                <w:szCs w:val="15"/>
              </w:rPr>
              <w:t xml:space="preserve">기초실습</w:t>
            </w:r>
          </w:p>
        </w:tc>
        <w:tc>
          <w:tcPr>
            <w:tcW w:w="2010" w:type="dxa"/>
            <w:shd w:val="clear" w:color="auto" w:fill="E5E5E5"/>
            <w:tcMar>
              <w:top w:w="40" w:type="dxa"/>
              <w:left w:w="70" w:type="dxa"/>
              <w:bottom w:w="40" w:type="dxa"/>
              <w:right w:w="70" w:type="dxa"/>
            </w:tcMar>
            <w:vAlign w:val="center"/>
          </w:tcPr>
          <w:p>
            <w:pPr>
              <w:keepNext/>
              <w:spacing w:line="250" w:lineRule="auto"/>
              <w:jc w:val="center"/>
            </w:pPr>
            <w:r>
              <w:rPr>
                <w:b/>
                <w:position w:val="0"/>
                <w:sz w:val="15"/>
                <w:szCs w:val="15"/>
              </w:rPr>
              <w:t xml:space="preserve">과제형 심화실습</w:t>
            </w:r>
          </w:p>
        </w:tc>
      </w:tr>
      <w:tr>
        <w:trPr>
          <w:cantSplit/>
        </w:trPr>
        <w:tc>
          <w:tcPr>
            <w:tcW w:w="1000" w:type="dxa"/>
            <w:tcMar>
              <w:top w:w="40" w:type="dxa"/>
              <w:left w:w="70" w:type="dxa"/>
              <w:bottom w:w="40" w:type="dxa"/>
              <w:right w:w="70" w:type="dxa"/>
            </w:tcMar>
            <w:vAlign w:val="center"/>
          </w:tcPr>
          <w:p>
            <w:pPr>
              <w:keepNext/>
              <w:spacing w:line="250" w:lineRule="auto"/>
              <w:jc w:val="center"/>
            </w:pPr>
            <w:r>
              <w:rPr>
                <w:b/>
                <w:position w:val="0"/>
                <w:sz w:val="15"/>
                <w:szCs w:val="15"/>
              </w:rPr>
              <w:t xml:space="preserve">한국</w:t>
            </w:r>
          </w:p>
        </w:tc>
        <w:tc>
          <w:tcPr>
            <w:tcW w:w="2011" w:type="dxa"/>
            <w:shd w:val="clear" w:color="auto" w:fill="FBE5D6"/>
            <w:tcMar>
              <w:top w:w="40" w:type="dxa"/>
              <w:left w:w="70" w:type="dxa"/>
              <w:bottom w:w="40" w:type="dxa"/>
              <w:right w:w="70" w:type="dxa"/>
            </w:tcMar>
            <w:vAlign w:val="center"/>
          </w:tcPr>
          <w:p>
            <w:pPr>
              <w:keepNext/>
              <w:spacing w:line="250" w:lineRule="auto"/>
              <w:jc w:val="left"/>
            </w:pPr>
            <w:r>
              <w:rPr>
                <w:position w:val="0"/>
                <w:sz w:val="15"/>
                <w:szCs w:val="15"/>
              </w:rPr>
              <w:t xml:space="preserve">전용 과목 없음</w:t>
            </w:r>
          </w:p>
          <w:p>
            <w:pPr>
              <w:keepNext/>
              <w:spacing w:line="250" w:lineRule="auto"/>
              <w:jc w:val="left"/>
            </w:pPr>
            <w:r>
              <w:rPr>
                <w:position w:val="0"/>
                <w:sz w:val="15"/>
                <w:szCs w:val="15"/>
              </w:rPr>
              <w:t xml:space="preserve">(보험수학·계리모형론에 전통적 계리통계 포함)</w:t>
            </w:r>
          </w:p>
        </w:tc>
        <w:tc>
          <w:tcPr>
            <w:tcW w:w="2010" w:type="dxa"/>
            <w:shd w:val="clear" w:color="auto" w:fill="FBE5D6"/>
            <w:tcMar>
              <w:top w:w="40" w:type="dxa"/>
              <w:left w:w="70" w:type="dxa"/>
              <w:bottom w:w="40" w:type="dxa"/>
              <w:right w:w="70" w:type="dxa"/>
            </w:tcMar>
            <w:vAlign w:val="center"/>
          </w:tcPr>
          <w:p>
            <w:pPr>
              <w:keepNext/>
              <w:spacing w:line="250" w:lineRule="auto"/>
              <w:jc w:val="left"/>
            </w:pPr>
            <w:r>
              <w:rPr>
                <w:position w:val="0"/>
                <w:sz w:val="15"/>
                <w:szCs w:val="15"/>
              </w:rPr>
              <w:t xml:space="preserve">없음</w:t>
            </w:r>
          </w:p>
          <w:p>
            <w:pPr>
              <w:keepNext/>
              <w:spacing w:line="250" w:lineRule="auto"/>
              <w:jc w:val="left"/>
            </w:pPr>
            <w:r>
              <w:rPr>
                <w:position w:val="0"/>
                <w:sz w:val="15"/>
                <w:szCs w:val="15"/>
              </w:rPr>
              <w:t xml:space="preserve">(전 과목 지필시험)</w:t>
            </w:r>
          </w:p>
        </w:tc>
        <w:tc>
          <w:tcPr>
            <w:tcW w:w="2010" w:type="dxa"/>
            <w:shd w:val="clear" w:color="auto" w:fill="FBE5D6"/>
            <w:tcMar>
              <w:top w:w="40" w:type="dxa"/>
              <w:left w:w="70" w:type="dxa"/>
              <w:bottom w:w="40" w:type="dxa"/>
              <w:right w:w="70" w:type="dxa"/>
            </w:tcMar>
            <w:vAlign w:val="center"/>
          </w:tcPr>
          <w:p>
            <w:pPr>
              <w:keepNext/>
              <w:spacing w:line="250" w:lineRule="auto"/>
              <w:jc w:val="left"/>
            </w:pPr>
            <w:r>
              <w:rPr>
                <w:position w:val="0"/>
                <w:sz w:val="15"/>
                <w:szCs w:val="15"/>
              </w:rPr>
              <w:t xml:space="preserve">없음</w:t>
            </w:r>
          </w:p>
        </w:tc>
      </w:tr>
      <w:tr>
        <w:trPr>
          <w:cantSplit/>
        </w:trPr>
        <w:tc>
          <w:tcPr>
            <w:tcW w:w="1000" w:type="dxa"/>
            <w:tcMar>
              <w:top w:w="40" w:type="dxa"/>
              <w:left w:w="70" w:type="dxa"/>
              <w:bottom w:w="40" w:type="dxa"/>
              <w:right w:w="70" w:type="dxa"/>
            </w:tcMar>
            <w:vAlign w:val="center"/>
          </w:tcPr>
          <w:p>
            <w:pPr>
              <w:keepNext/>
              <w:spacing w:line="250" w:lineRule="auto"/>
              <w:jc w:val="center"/>
            </w:pPr>
            <w:r>
              <w:rPr>
                <w:b/>
                <w:position w:val="0"/>
                <w:sz w:val="15"/>
                <w:szCs w:val="15"/>
              </w:rPr>
              <w:t xml:space="preserve">SOA</w:t>
            </w:r>
          </w:p>
        </w:tc>
        <w:tc>
          <w:tcPr>
            <w:tcW w:w="2011" w:type="dxa"/>
            <w:tcMar>
              <w:top w:w="40" w:type="dxa"/>
              <w:left w:w="70" w:type="dxa"/>
              <w:bottom w:w="40" w:type="dxa"/>
              <w:right w:w="70" w:type="dxa"/>
            </w:tcMar>
            <w:vAlign w:val="center"/>
          </w:tcPr>
          <w:p>
            <w:pPr>
              <w:keepNext/>
              <w:spacing w:line="250" w:lineRule="auto"/>
              <w:jc w:val="left"/>
            </w:pPr>
            <w:r>
              <w:rPr>
                <w:position w:val="0"/>
                <w:sz w:val="15"/>
                <w:szCs w:val="15"/>
              </w:rPr>
              <w:t xml:space="preserve">SRM</w:t>
            </w:r>
          </w:p>
          <w:p>
            <w:pPr>
              <w:keepNext/>
              <w:spacing w:line="250" w:lineRule="auto"/>
              <w:jc w:val="left"/>
            </w:pPr>
            <w:r>
              <w:rPr>
                <w:position w:val="0"/>
                <w:sz w:val="15"/>
                <w:szCs w:val="15"/>
              </w:rPr>
              <w:t xml:space="preserve">(객관식 CBT)</w:t>
            </w:r>
          </w:p>
        </w:tc>
        <w:tc>
          <w:tcPr>
            <w:tcW w:w="2010" w:type="dxa"/>
            <w:tcMar>
              <w:top w:w="40" w:type="dxa"/>
              <w:left w:w="70" w:type="dxa"/>
              <w:bottom w:w="40" w:type="dxa"/>
              <w:right w:w="70" w:type="dxa"/>
            </w:tcMar>
            <w:vAlign w:val="center"/>
          </w:tcPr>
          <w:p>
            <w:pPr>
              <w:keepNext/>
              <w:spacing w:line="250" w:lineRule="auto"/>
              <w:jc w:val="left"/>
            </w:pPr>
            <w:r>
              <w:rPr>
                <w:position w:val="0"/>
                <w:sz w:val="15"/>
                <w:szCs w:val="15"/>
              </w:rPr>
              <w:t xml:space="preserve">PA</w:t>
            </w:r>
          </w:p>
          <w:p>
            <w:pPr>
              <w:keepNext/>
              <w:spacing w:line="250" w:lineRule="auto"/>
              <w:jc w:val="left"/>
            </w:pPr>
            <w:r>
              <w:rPr>
                <w:position w:val="0"/>
                <w:sz w:val="15"/>
                <w:szCs w:val="15"/>
              </w:rPr>
              <w:t xml:space="preserve">(e-러닝 + 데이터셋 기반 시험)</w:t>
            </w:r>
          </w:p>
        </w:tc>
        <w:tc>
          <w:tcPr>
            <w:tcW w:w="2010" w:type="dxa"/>
            <w:tcMar>
              <w:top w:w="40" w:type="dxa"/>
              <w:left w:w="70" w:type="dxa"/>
              <w:bottom w:w="40" w:type="dxa"/>
              <w:right w:w="70" w:type="dxa"/>
            </w:tcMar>
            <w:vAlign w:val="center"/>
          </w:tcPr>
          <w:p>
            <w:pPr>
              <w:keepNext/>
              <w:spacing w:line="250" w:lineRule="auto"/>
              <w:jc w:val="left"/>
            </w:pPr>
            <w:r>
              <w:rPr>
                <w:position w:val="0"/>
                <w:sz w:val="15"/>
                <w:szCs w:val="15"/>
              </w:rPr>
              <w:t xml:space="preserve">ATPA</w:t>
            </w:r>
          </w:p>
          <w:p>
            <w:pPr>
              <w:keepNext/>
              <w:spacing w:line="250" w:lineRule="auto"/>
              <w:jc w:val="left"/>
            </w:pPr>
            <w:r>
              <w:rPr>
                <w:position w:val="0"/>
                <w:sz w:val="15"/>
                <w:szCs w:val="15"/>
              </w:rPr>
              <w:t xml:space="preserve">(e-러닝 + 과제형 평가)</w:t>
            </w:r>
          </w:p>
        </w:tc>
      </w:tr>
      <w:tr>
        <w:trPr>
          <w:cantSplit/>
        </w:trPr>
        <w:tc>
          <w:tcPr>
            <w:tcW w:w="1000" w:type="dxa"/>
            <w:tcMar>
              <w:top w:w="40" w:type="dxa"/>
              <w:left w:w="70" w:type="dxa"/>
              <w:bottom w:w="40" w:type="dxa"/>
              <w:right w:w="70" w:type="dxa"/>
            </w:tcMar>
            <w:vAlign w:val="center"/>
          </w:tcPr>
          <w:p>
            <w:pPr>
              <w:keepNext/>
              <w:spacing w:line="250" w:lineRule="auto"/>
              <w:jc w:val="center"/>
            </w:pPr>
            <w:r>
              <w:rPr>
                <w:b/>
                <w:position w:val="0"/>
                <w:sz w:val="15"/>
                <w:szCs w:val="15"/>
              </w:rPr>
              <w:t xml:space="preserve">CAS</w:t>
            </w:r>
          </w:p>
        </w:tc>
        <w:tc>
          <w:tcPr>
            <w:tcW w:w="2011" w:type="dxa"/>
            <w:tcMar>
              <w:top w:w="40" w:type="dxa"/>
              <w:left w:w="70" w:type="dxa"/>
              <w:bottom w:w="40" w:type="dxa"/>
              <w:right w:w="70" w:type="dxa"/>
            </w:tcMar>
            <w:vAlign w:val="center"/>
          </w:tcPr>
          <w:p>
            <w:pPr>
              <w:keepNext/>
              <w:spacing w:line="250" w:lineRule="auto"/>
              <w:jc w:val="left"/>
            </w:pPr>
            <w:r>
              <w:rPr>
                <w:position w:val="0"/>
                <w:sz w:val="15"/>
                <w:szCs w:val="15"/>
              </w:rPr>
              <w:t xml:space="preserve">MAS-I, MAS-II</w:t>
            </w:r>
          </w:p>
          <w:p>
            <w:pPr>
              <w:keepNext/>
              <w:spacing w:line="250" w:lineRule="auto"/>
              <w:jc w:val="left"/>
            </w:pPr>
            <w:r>
              <w:rPr>
                <w:position w:val="0"/>
                <w:sz w:val="15"/>
                <w:szCs w:val="15"/>
              </w:rPr>
              <w:t xml:space="preserve">(통계적 학습 40~50%)</w:t>
            </w:r>
          </w:p>
        </w:tc>
        <w:tc>
          <w:tcPr>
            <w:tcW w:w="2010" w:type="dxa"/>
            <w:tcMar>
              <w:top w:w="40" w:type="dxa"/>
              <w:left w:w="70" w:type="dxa"/>
              <w:bottom w:w="40" w:type="dxa"/>
              <w:right w:w="70" w:type="dxa"/>
            </w:tcMar>
            <w:vAlign w:val="center"/>
          </w:tcPr>
          <w:p>
            <w:pPr>
              <w:keepNext/>
              <w:spacing w:line="250" w:lineRule="auto"/>
              <w:jc w:val="left"/>
            </w:pPr>
            <w:r>
              <w:rPr>
                <w:position w:val="0"/>
                <w:sz w:val="15"/>
                <w:szCs w:val="15"/>
              </w:rPr>
              <w:t xml:space="preserve">PCPA 시험</w:t>
            </w:r>
          </w:p>
          <w:p>
            <w:pPr>
              <w:keepNext/>
              <w:spacing w:line="250" w:lineRule="auto"/>
              <w:jc w:val="left"/>
            </w:pPr>
            <w:r>
              <w:rPr>
                <w:position w:val="0"/>
                <w:sz w:val="15"/>
                <w:szCs w:val="15"/>
              </w:rPr>
              <w:t xml:space="preserve">(2시간 객관식, 부분 대응)</w:t>
            </w:r>
          </w:p>
        </w:tc>
        <w:tc>
          <w:tcPr>
            <w:tcW w:w="2010" w:type="dxa"/>
            <w:tcMar>
              <w:top w:w="40" w:type="dxa"/>
              <w:left w:w="70" w:type="dxa"/>
              <w:bottom w:w="40" w:type="dxa"/>
              <w:right w:w="70" w:type="dxa"/>
            </w:tcMar>
            <w:vAlign w:val="center"/>
          </w:tcPr>
          <w:p>
            <w:pPr>
              <w:keepNext/>
              <w:spacing w:line="250" w:lineRule="auto"/>
              <w:jc w:val="left"/>
            </w:pPr>
            <w:r>
              <w:rPr>
                <w:position w:val="0"/>
                <w:sz w:val="15"/>
                <w:szCs w:val="15"/>
              </w:rPr>
              <w:t xml:space="preserve">PCPA 프로젝트</w:t>
            </w:r>
          </w:p>
          <w:p>
            <w:pPr>
              <w:keepNext/>
              <w:spacing w:line="250" w:lineRule="auto"/>
              <w:jc w:val="left"/>
            </w:pPr>
            <w:r>
              <w:rPr>
                <w:position w:val="0"/>
                <w:sz w:val="15"/>
                <w:szCs w:val="15"/>
              </w:rPr>
              <w:t xml:space="preserve">(기간형 과제)</w:t>
            </w:r>
          </w:p>
        </w:tc>
      </w:tr>
      <w:tr>
        <w:trPr>
          <w:cantSplit/>
        </w:trPr>
        <w:tc>
          <w:tcPr>
            <w:tcW w:w="1000" w:type="dxa"/>
            <w:tcMar>
              <w:top w:w="40" w:type="dxa"/>
              <w:left w:w="70" w:type="dxa"/>
              <w:bottom w:w="40" w:type="dxa"/>
              <w:right w:w="70" w:type="dxa"/>
            </w:tcMar>
            <w:vAlign w:val="center"/>
          </w:tcPr>
          <w:p>
            <w:pPr>
              <w:keepNext/>
              <w:spacing w:line="250" w:lineRule="auto"/>
              <w:jc w:val="center"/>
            </w:pPr>
            <w:r>
              <w:rPr>
                <w:b/>
                <w:position w:val="0"/>
                <w:sz w:val="15"/>
                <w:szCs w:val="15"/>
              </w:rPr>
              <w:t xml:space="preserve">CIA</w:t>
            </w:r>
          </w:p>
        </w:tc>
        <w:tc>
          <w:tcPr>
            <w:tcW w:w="2011" w:type="dxa"/>
            <w:tcMar>
              <w:top w:w="40" w:type="dxa"/>
              <w:left w:w="70" w:type="dxa"/>
              <w:bottom w:w="40" w:type="dxa"/>
              <w:right w:w="70" w:type="dxa"/>
            </w:tcMar>
            <w:vAlign w:val="center"/>
          </w:tcPr>
          <w:p>
            <w:pPr>
              <w:keepNext/>
              <w:spacing w:line="250" w:lineRule="auto"/>
              <w:jc w:val="left"/>
            </w:pPr>
            <w:r>
              <w:rPr>
                <w:position w:val="0"/>
                <w:sz w:val="15"/>
                <w:szCs w:val="15"/>
              </w:rPr>
              <w:t xml:space="preserve">인증 대학 학위 또는</w:t>
            </w:r>
          </w:p>
          <w:p>
            <w:pPr>
              <w:keepNext/>
              <w:spacing w:line="250" w:lineRule="auto"/>
              <w:jc w:val="left"/>
            </w:pPr>
            <w:r>
              <w:rPr>
                <w:position w:val="0"/>
                <w:sz w:val="15"/>
                <w:szCs w:val="15"/>
              </w:rPr>
              <w:t xml:space="preserve">SRM·MAS 크레딧 인정</w:t>
            </w:r>
          </w:p>
        </w:tc>
        <w:tc>
          <w:tcPr>
            <w:tcW w:w="2010" w:type="dxa"/>
            <w:tcMar>
              <w:top w:w="40" w:type="dxa"/>
              <w:left w:w="70" w:type="dxa"/>
              <w:bottom w:w="40" w:type="dxa"/>
              <w:right w:w="70" w:type="dxa"/>
            </w:tcMar>
            <w:vAlign w:val="center"/>
          </w:tcPr>
          <w:p>
            <w:pPr>
              <w:keepNext/>
              <w:spacing w:line="250" w:lineRule="auto"/>
              <w:jc w:val="left"/>
            </w:pPr>
            <w:r>
              <w:rPr>
                <w:position w:val="0"/>
                <w:sz w:val="15"/>
                <w:szCs w:val="15"/>
              </w:rPr>
              <w:t xml:space="preserve">ACIA Module 2</w:t>
            </w:r>
          </w:p>
          <w:p>
            <w:pPr>
              <w:keepNext/>
              <w:spacing w:line="250" w:lineRule="auto"/>
              <w:jc w:val="left"/>
            </w:pPr>
            <w:r>
              <w:rPr>
                <w:position w:val="0"/>
                <w:sz w:val="15"/>
                <w:szCs w:val="15"/>
              </w:rPr>
              <w:t xml:space="preserve">(예측분석 채점 과제)</w:t>
            </w:r>
          </w:p>
        </w:tc>
        <w:tc>
          <w:tcPr>
            <w:tcW w:w="2010" w:type="dxa"/>
            <w:tcMar>
              <w:top w:w="40" w:type="dxa"/>
              <w:left w:w="70" w:type="dxa"/>
              <w:bottom w:w="40" w:type="dxa"/>
              <w:right w:w="70" w:type="dxa"/>
            </w:tcMar>
            <w:vAlign w:val="center"/>
          </w:tcPr>
          <w:p>
            <w:pPr>
              <w:keepNext/>
              <w:spacing w:line="250" w:lineRule="auto"/>
              <w:jc w:val="left"/>
            </w:pPr>
            <w:r>
              <w:rPr>
                <w:position w:val="0"/>
                <w:sz w:val="15"/>
                <w:szCs w:val="15"/>
              </w:rPr>
              <w:t xml:space="preserve">독립 과목 없음</w:t>
            </w:r>
          </w:p>
        </w:tc>
      </w:tr>
      <w:tr>
        <w:trPr>
          <w:cantSplit/>
        </w:trPr>
        <w:tc>
          <w:tcPr>
            <w:tcW w:w="1000" w:type="dxa"/>
            <w:tcMar>
              <w:top w:w="40" w:type="dxa"/>
              <w:left w:w="70" w:type="dxa"/>
              <w:bottom w:w="40" w:type="dxa"/>
              <w:right w:w="70" w:type="dxa"/>
            </w:tcMar>
            <w:vAlign w:val="center"/>
          </w:tcPr>
          <w:p>
            <w:pPr>
              <w:spacing w:line="250" w:lineRule="auto"/>
              <w:jc w:val="center"/>
            </w:pPr>
            <w:r>
              <w:rPr>
                <w:b/>
                <w:position w:val="0"/>
                <w:sz w:val="15"/>
                <w:szCs w:val="15"/>
              </w:rPr>
              <w:t xml:space="preserve">IFoA</w:t>
            </w:r>
          </w:p>
        </w:tc>
        <w:tc>
          <w:tcPr>
            <w:tcW w:w="2011" w:type="dxa"/>
            <w:tcMar>
              <w:top w:w="40" w:type="dxa"/>
              <w:left w:w="70" w:type="dxa"/>
              <w:bottom w:w="40" w:type="dxa"/>
              <w:right w:w="70" w:type="dxa"/>
            </w:tcMar>
            <w:vAlign w:val="center"/>
          </w:tcPr>
          <w:p>
            <w:pPr>
              <w:spacing w:line="250" w:lineRule="auto"/>
              <w:jc w:val="left"/>
            </w:pPr>
            <w:r>
              <w:rPr>
                <w:position w:val="0"/>
                <w:sz w:val="15"/>
                <w:szCs w:val="15"/>
              </w:rPr>
              <w:t xml:space="preserve">CS1, CS2 A 시험</w:t>
            </w:r>
          </w:p>
          <w:p>
            <w:pPr>
              <w:spacing w:line="250" w:lineRule="auto"/>
              <w:jc w:val="left"/>
            </w:pPr>
            <w:r>
              <w:rPr>
                <w:position w:val="0"/>
                <w:sz w:val="15"/>
                <w:szCs w:val="15"/>
              </w:rPr>
              <w:t xml:space="preserve">(머신러닝은 개괄 수준)</w:t>
            </w:r>
          </w:p>
        </w:tc>
        <w:tc>
          <w:tcPr>
            <w:tcW w:w="2010" w:type="dxa"/>
            <w:tcMar>
              <w:top w:w="40" w:type="dxa"/>
              <w:left w:w="70" w:type="dxa"/>
              <w:bottom w:w="40" w:type="dxa"/>
              <w:right w:w="70" w:type="dxa"/>
            </w:tcMar>
            <w:vAlign w:val="center"/>
          </w:tcPr>
          <w:p>
            <w:pPr>
              <w:spacing w:line="250" w:lineRule="auto"/>
              <w:jc w:val="left"/>
            </w:pPr>
            <w:r>
              <w:rPr>
                <w:position w:val="0"/>
                <w:sz w:val="15"/>
                <w:szCs w:val="15"/>
              </w:rPr>
              <w:t xml:space="preserve">CS1B, CS2B</w:t>
            </w:r>
          </w:p>
          <w:p>
            <w:pPr>
              <w:spacing w:line="250" w:lineRule="auto"/>
              <w:jc w:val="left"/>
            </w:pPr>
            <w:r>
              <w:rPr>
                <w:position w:val="0"/>
                <w:sz w:val="15"/>
                <w:szCs w:val="15"/>
              </w:rPr>
              <w:t xml:space="preserve">(R 사용 시험, 30% 반영)</w:t>
            </w:r>
          </w:p>
        </w:tc>
        <w:tc>
          <w:tcPr>
            <w:tcW w:w="2010" w:type="dxa"/>
            <w:tcMar>
              <w:top w:w="40" w:type="dxa"/>
              <w:left w:w="70" w:type="dxa"/>
              <w:bottom w:w="40" w:type="dxa"/>
              <w:right w:w="70" w:type="dxa"/>
            </w:tcMar>
            <w:vAlign w:val="center"/>
          </w:tcPr>
          <w:p>
            <w:pPr>
              <w:spacing w:line="250" w:lineRule="auto"/>
              <w:jc w:val="left"/>
            </w:pPr>
            <w:r>
              <w:rPr>
                <w:position w:val="0"/>
                <w:sz w:val="15"/>
                <w:szCs w:val="15"/>
              </w:rPr>
              <w:t xml:space="preserve">CP2 모델링 실무</w:t>
            </w:r>
          </w:p>
          <w:p>
            <w:pPr>
              <w:spacing w:line="250" w:lineRule="auto"/>
              <w:jc w:val="left"/>
            </w:pPr>
            <w:r>
              <w:rPr>
                <w:position w:val="0"/>
                <w:sz w:val="15"/>
                <w:szCs w:val="15"/>
              </w:rPr>
              <w:t xml:space="preserve">(시간제 시험, 부분 대응)</w:t>
            </w:r>
          </w:p>
        </w:tc>
      </w:tr>
    </w:tbl>
    <w:p>
      <w:pPr>
        <w:pStyle w:val="1"/>
        <w:spacing w:before="40" w:after="160" w:line="260" w:lineRule="auto"/>
        <w:ind w:firstLine="0"/>
      </w:pPr>
      <w:r>
        <w:rPr>
          <w:position w:val="0"/>
          <w:sz w:val="15"/>
          <w:szCs w:val="15"/>
        </w:rPr>
        <w:t xml:space="preserve">주: 음영은 해당 단계에 대응하는 평가 요소가 확인되지 않은 부분임.
자료: Ⅲ장에서 인용한 각 기관 자료를 바탕으로 저자 작성.</w:t>
      </w:r>
    </w:p>
    <w:p>
      <w:pPr>
        <w:pStyle w:val="a3"/>
        <w:keepNext/>
      </w:pPr>
    </w:p>
    <w:p>
      <w:pPr>
        <w:pStyle w:val="11"/>
        <w:keepNext/>
        <w:ind w:left="200" w:firstLine="0"/>
      </w:pPr>
      <w:r>
        <w:rPr>
          <w:position w:val="0"/>
        </w:rPr>
        <w:t xml:space="preserve">2. 시사점</w:t>
      </w:r>
    </w:p>
    <w:p>
      <w:pPr>
        <w:pStyle w:val="a3"/>
        <w:keepNext/>
      </w:pPr>
    </w:p>
    <w:p>
      <w:pPr>
        <w:pStyle w:val="1"/>
        <w:ind w:firstLine="200"/>
        <w:rPr>
          <w:position w:val="0"/>
        </w:rPr>
      </w:pPr>
      <w:r>
        <w:rPr>
          <w:position w:val="0"/>
          <w:sz w:val="20"/>
          <w:szCs w:val="20"/>
        </w:rPr>
        <w:t xml:space="preserve">첫째, 해외 4개 기관이 모두 통계적 학습 이론을 자격 요건에 포함하고 있다는 점에서, 한국 시험에도 이에 대응하는 출제영역을 명시할 필요가 있다. 가장 부담이 적은 방법은 2차 계리모형론 또는 1차 보험수학의 출제범위에 GLM, 트리 모형, 모형 검증 등을 추가하는 것이며, 이는 CAS가 기존 시험을 개편하여 MAS-I과 MAS-II에 통계적 학습을 반영한 방식과 유사하다.</w:t>
      </w:r>
    </w:p>
    <w:p>
      <w:pPr>
        <w:pStyle w:val="1"/>
        <w:ind w:firstLine="200"/>
        <w:rPr>
          <w:position w:val="0"/>
        </w:rPr>
      </w:pPr>
      <w:r>
        <w:rPr>
          <w:position w:val="0"/>
          <w:sz w:val="20"/>
          <w:szCs w:val="20"/>
        </w:rPr>
        <w:t xml:space="preserve">둘째, 실습형 평가는 형식이 다양하다는 점에서 국내 여건에 맞는 방식을 선택할 수 있다. 독립된 실습 시험을 신설하는 SOA·CAS 방식 외에도, 기존 과목에 소프트웨어 기반 문항을 결합하는 IFoA 방식이나 자격 취득 과정에 교육 모듈을 두는 CIA 방식이 있다. 특히 IFoA의 방식은 과목 수를 늘리지 않으면서 실습 역량을 평가할 수 있어 현행 5과목 체계를 유지하는 한국 2차 시험에 참고할 만하다.</w:t>
      </w:r>
    </w:p>
    <w:p>
      <w:pPr>
        <w:pStyle w:val="1"/>
        <w:ind w:firstLine="200"/>
        <w:rPr>
          <w:position w:val="0"/>
        </w:rPr>
      </w:pPr>
      <w:r>
        <w:rPr>
          <w:position w:val="0"/>
          <w:sz w:val="20"/>
          <w:szCs w:val="20"/>
        </w:rPr>
        <w:t xml:space="preserve">셋째, 해외 기관들은 개편을 단계적으로 진행하였다. CAS는 2018년 MAS 시험으로 이론을 먼저 반영하고 2026년에 PCPA를 필수화하였으며, CIA는 기존 시험 크레딧을 인정하면서 자체 모듈로 실습을 보완하였다. 한국 역시 출제범위 확대를 우선 추진하고, 실습형 평가는 시험 운영 여건을 갖춘 뒤 도입하는 단계적 접근을 검토할 수 있다.</w:t>
      </w:r>
    </w:p>
    <w:p>
      <w:pPr>
        <w:pStyle w:val="a3"/>
      </w:pPr>
    </w:p>
    <w:p>
      <w:pPr>
        <w:pStyle w:val="a4"/>
        <w:keepNext/>
      </w:pPr>
      <w:r>
        <w:rPr>
          <w:position w:val="0"/>
        </w:rPr>
        <w:t xml:space="preserve">Ⅴ. 결론</w:t>
      </w:r>
    </w:p>
    <w:p>
      <w:pPr>
        <w:pStyle w:val="a3"/>
        <w:keepNext/>
      </w:pPr>
    </w:p>
    <w:p>
      <w:pPr>
        <w:pStyle w:val="1"/>
        <w:ind w:firstLine="200"/>
        <w:rPr>
          <w:position w:val="0"/>
        </w:rPr>
      </w:pPr>
      <w:r>
        <w:rPr>
          <w:position w:val="0"/>
          <w:sz w:val="20"/>
          <w:szCs w:val="20"/>
        </w:rPr>
        <w:t xml:space="preserve">본 연구는 데이터사이언스 역량을 기초이론, 기초실습, 과제형 심화실습의 세 단계로 구분하고, 한국 보험계리사 시험과 SOA, CAS, CIA, IFoA의 시험제도를 비교하였다. 해외 4개 기관은 평가 방식이 서로 다르지만 모두 이론과 실습 단계를 자격 요건에 포함하고 있었고, 한국 시험에서는 이에 대응하는 명시적 평가 요소가 확인되지 않았다. 다변화하는 위험과 고도화하는 위험관리 기법에 대응할 수 있는 계리 인력을 양성하기 위해서는 한국 보험계리사 시험에도 통계 및 데이터사이언스 관련 평가를 확대할 필요가 있다.</w:t>
      </w:r>
    </w:p>
    <w:p>
      <w:pPr>
        <w:pStyle w:val="1"/>
        <w:ind w:firstLine="200"/>
        <w:rPr>
          <w:position w:val="0"/>
        </w:rPr>
      </w:pPr>
      <w:r>
        <w:rPr>
          <w:position w:val="0"/>
          <w:sz w:val="20"/>
          <w:szCs w:val="20"/>
        </w:rPr>
        <w:t xml:space="preserve">본 연구는 다음과 같은 한계를 가진다. 첫째, 비교는 각 기관이 공개한 안내 자료와 출제범위에 근거하였으므로 실제 문항의 난이도나 출제 비중까지는 반영하지 못하였다. 둘째, 한국 시험의 출제범위는 공식 출제기준을 통해 과목별 세부 내용을 확인할 필요가 있다. 셋째, CIA는 비인증 대학 출신자를 위한 새로운 경로의 도입을 예고하는 등 각국 제도가 계속 변화하고 있으므로, 후속 연구에서 이를 반영할 필요가 있다.</w:t>
      </w:r>
    </w:p>
    <w:p>
      <w:r>
        <w:br w:type="page"/>
      </w:r>
    </w:p>
    <w:p>
      <w:pPr>
        <w:pStyle w:val="a9"/>
      </w:pPr>
      <w:r>
        <w:rPr>
          <w:position w:val="0"/>
        </w:rPr>
        <w:t xml:space="preserve">&lt;참고문헌&gt;</w:t>
      </w:r>
    </w:p>
    <w:p>
      <w:pPr>
        <w:pStyle w:val="aa"/>
        <w:jc w:val="left"/>
      </w:pPr>
      <w:r>
        <w:rPr>
          <w:position w:val="0"/>
          <w:sz w:val="20"/>
          <w:szCs w:val="20"/>
        </w:rPr>
        <w:t xml:space="preserve">금융감독원. 「2021년도 제44회 보험계리사 및 손해사정사 시험 시행계획 공고」. 2021. https://support.epasskorea.com/hc/ko/article_attachments/900007490683 (접속일: 2026.10.20.)</w:t>
      </w:r>
    </w:p>
    <w:p>
      <w:pPr>
        <w:pStyle w:val="aa"/>
        <w:jc w:val="left"/>
      </w:pPr>
      <w:r>
        <w:rPr>
          <w:position w:val="0"/>
          <w:sz w:val="20"/>
          <w:szCs w:val="20"/>
        </w:rPr>
        <w:t xml:space="preserve">조세금융신문. 「금감원 “올해 보험계리사 120명, 손해사정사 506명 최종합격”」. 2025.9.26. https://www.tfmedia.co.kr/mobile/article.html?no=195820 (접속일: 2026.10.20.)</w:t>
      </w:r>
    </w:p>
    <w:p>
      <w:pPr>
        <w:pStyle w:val="aa"/>
        <w:jc w:val="left"/>
      </w:pPr>
      <w:r>
        <w:rPr>
          <w:position w:val="0"/>
          <w:sz w:val="20"/>
          <w:szCs w:val="20"/>
        </w:rPr>
        <w:t xml:space="preserve">CEO스코어데일리. 「보험부채 계산할 사람이 부족하다…‘계리사 모시기’ 승자는 삼성화재 179명」. 2026.6. https://m.ceoscoredaily.com/page/view/2026061820453141810 (접속일: 2026.10.20.)</w:t>
      </w:r>
    </w:p>
    <w:p>
      <w:pPr>
        <w:pStyle w:val="aa"/>
        <w:jc w:val="left"/>
      </w:pPr>
      <w:r>
        <w:rPr>
          <w:position w:val="0"/>
          <w:sz w:val="20"/>
          <w:szCs w:val="20"/>
        </w:rPr>
        <w:t xml:space="preserve">Goldburd, Mark, Anand Khare, Dan Tevet, and Dmitriy Guller. Generalized Linear Models for Insurance Rating. 2nd ed., CAS Monograph No. 5, Casualty Actuarial Society, 2020.</w:t>
      </w:r>
    </w:p>
    <w:p>
      <w:pPr>
        <w:pStyle w:val="aa"/>
        <w:jc w:val="left"/>
      </w:pPr>
      <w:r>
        <w:rPr>
          <w:position w:val="0"/>
          <w:sz w:val="20"/>
          <w:szCs w:val="20"/>
        </w:rPr>
        <w:t xml:space="preserve">James, Gareth, Daniela Witten, Trevor Hastie, and Robert Tibshirani. An Introduction to Statistical Learning: with Applications in R. 2nd ed., Springer, 2021.</w:t>
      </w:r>
    </w:p>
    <w:p>
      <w:pPr>
        <w:pStyle w:val="aa"/>
        <w:jc w:val="left"/>
      </w:pPr>
      <w:r>
        <w:rPr>
          <w:position w:val="0"/>
          <w:sz w:val="20"/>
          <w:szCs w:val="20"/>
        </w:rPr>
        <w:t xml:space="preserve">actuary.info. "The CAS at a Glance: CAS Exam Pathway 2026." 2026. https://actuary.info/insights/cas-exam-pathway-2026-complete-guide (접속일: 2026.10.20.)</w:t>
      </w:r>
    </w:p>
    <w:p>
      <w:pPr>
        <w:pStyle w:val="aa"/>
        <w:jc w:val="left"/>
      </w:pPr>
      <w:r>
        <w:rPr>
          <w:position w:val="0"/>
          <w:sz w:val="20"/>
          <w:szCs w:val="20"/>
        </w:rPr>
        <w:t xml:space="preserve">Canadian Institute of Actuaries (CIA). "Pathway 2." 2026a. https://www.cia-ica.ca/becoming-a-member/qualification-pathways/pathway-2/ (접속일: 2026.10.20.)</w:t>
      </w:r>
    </w:p>
    <w:p>
      <w:pPr>
        <w:pStyle w:val="aa"/>
        <w:jc w:val="left"/>
      </w:pPr>
      <w:r>
        <w:rPr>
          <w:position w:val="0"/>
          <w:sz w:val="20"/>
          <w:szCs w:val="20"/>
        </w:rPr>
        <w:t xml:space="preserve">Canadian Institute of Actuaries (CIA). "ACIA Syllabus." 2026b. https://cia-ica.ca/becoming-a-member/becoming-an-associate/acia-syllabus/ (접속일: 2026.10.20.)</w:t>
      </w:r>
    </w:p>
    <w:p>
      <w:pPr>
        <w:pStyle w:val="aa"/>
        <w:jc w:val="left"/>
      </w:pPr>
      <w:r>
        <w:rPr>
          <w:position w:val="0"/>
          <w:sz w:val="20"/>
          <w:szCs w:val="20"/>
        </w:rPr>
        <w:t xml:space="preserve">Canadian Institute of Actuaries (CIA). "Education FAQ." 2026c. https://cia-ica.ca/becoming-a-member/education-faq/ (접속일: 2026.10.20.)</w:t>
      </w:r>
    </w:p>
    <w:p>
      <w:pPr>
        <w:pStyle w:val="aa"/>
        <w:jc w:val="left"/>
      </w:pPr>
      <w:r>
        <w:rPr>
          <w:position w:val="0"/>
          <w:sz w:val="20"/>
          <w:szCs w:val="20"/>
        </w:rPr>
        <w:t xml:space="preserve">Casualty Actuarial Society (CAS). "Modern Actuarial Statistics I and II: New Exams for an Evolving Profession." CAS Student Central, 2017. https://www.casstudentcentral.org/?p=3040 (접속일: 2026.10.20.)</w:t>
      </w:r>
    </w:p>
    <w:p>
      <w:pPr>
        <w:pStyle w:val="aa"/>
        <w:jc w:val="left"/>
      </w:pPr>
      <w:r>
        <w:rPr>
          <w:position w:val="0"/>
          <w:sz w:val="20"/>
          <w:szCs w:val="20"/>
        </w:rPr>
        <w:t xml:space="preserve">Casualty Actuarial Society (CAS). "Exam MAS-II Content Outline." 2023. https://www.casact.org/sites/default/files/2022-12/MASII_Content_Outline_Fall-2023.pdf (접속일: 2026.10.20.)</w:t>
      </w:r>
    </w:p>
    <w:p>
      <w:pPr>
        <w:pStyle w:val="aa"/>
        <w:jc w:val="left"/>
      </w:pPr>
      <w:r>
        <w:rPr>
          <w:position w:val="0"/>
          <w:sz w:val="20"/>
          <w:szCs w:val="20"/>
        </w:rPr>
        <w:t xml:space="preserve">Casualty Actuarial Society (CAS). "Property and Casualty Predictive Analytics (PCPA) FAQ." 2024. https://www.casact.org/sites/default/files/2024-05/CAS_PCPA_FAQ.pdf (접속일: 2026.10.20.)</w:t>
      </w:r>
    </w:p>
    <w:p>
      <w:pPr>
        <w:pStyle w:val="aa"/>
        <w:jc w:val="left"/>
      </w:pPr>
      <w:r>
        <w:rPr>
          <w:position w:val="0"/>
          <w:sz w:val="20"/>
          <w:szCs w:val="20"/>
        </w:rPr>
        <w:t xml:space="preserve">Casualty Actuarial Society (CAS). "2025 Syllabus of Basic Education." 2025. https://casact.org/sites/default/files/2025-01/2025_SOBE.pdf (접속일: 2026.10.20.)</w:t>
      </w:r>
    </w:p>
    <w:p>
      <w:pPr>
        <w:pStyle w:val="aa"/>
        <w:jc w:val="left"/>
      </w:pPr>
      <w:r>
        <w:rPr>
          <w:position w:val="0"/>
          <w:sz w:val="20"/>
          <w:szCs w:val="20"/>
        </w:rPr>
        <w:t xml:space="preserve">Institute and Faculty of Actuaries (IFoA). "CP2 Modelling Practice Syllabus 2025." 2025. https://actuaries.org.uk/media/scjb3a3s/cp2-modelling-practice-syllabus-2025.pdf (접속일: 2026.10.20.)</w:t>
      </w:r>
    </w:p>
    <w:p>
      <w:pPr>
        <w:pStyle w:val="aa"/>
        <w:jc w:val="left"/>
      </w:pPr>
      <w:r>
        <w:rPr>
          <w:position w:val="0"/>
          <w:sz w:val="20"/>
          <w:szCs w:val="20"/>
        </w:rPr>
        <w:t xml:space="preserve">Institute and Faculty of Actuaries (IFoA). "Actuarial Statistics." 2026a. https://actuaries.org.uk/qualify/curriculum/actuarial-statistics/ (접속일: 2026.10.20.)</w:t>
      </w:r>
    </w:p>
    <w:p>
      <w:pPr>
        <w:pStyle w:val="aa"/>
        <w:jc w:val="left"/>
      </w:pPr>
      <w:r>
        <w:rPr>
          <w:position w:val="0"/>
          <w:sz w:val="20"/>
          <w:szCs w:val="20"/>
        </w:rPr>
        <w:t xml:space="preserve">Institute and Faculty of Actuaries (IFoA). "Frequently Asked Questions." 2026b. https://actuaries.org.uk/qualify/curriculum/frequently-asked-questions/ (접속일: 2026.10.20.)</w:t>
      </w:r>
    </w:p>
    <w:p>
      <w:pPr>
        <w:pStyle w:val="aa"/>
        <w:jc w:val="left"/>
      </w:pPr>
      <w:r>
        <w:rPr>
          <w:position w:val="0"/>
          <w:sz w:val="20"/>
          <w:szCs w:val="20"/>
        </w:rPr>
        <w:t xml:space="preserve">Institute and Faculty of Actuaries (IFoA). "2026 Syllabus Changes." 2026c. https://actuaries.org.uk/media/444hp2jy/2026-syllabus-changes.pdf (접속일: 2026.10.20.)</w:t>
      </w:r>
    </w:p>
    <w:p>
      <w:pPr>
        <w:pStyle w:val="aa"/>
        <w:jc w:val="left"/>
      </w:pPr>
      <w:r>
        <w:rPr>
          <w:position w:val="0"/>
          <w:sz w:val="20"/>
          <w:szCs w:val="20"/>
        </w:rPr>
        <w:t xml:space="preserve">Insurance Portal. "New Canadian Institute of Actuaries President Concerned about Climate." 2021. https://insurance-portal.ca/article/new-canadian-institute-of-actuaries-president-concerned-about-climate/ (접속일: 2026.10.20.)</w:t>
      </w:r>
    </w:p>
    <w:p>
      <w:pPr>
        <w:pStyle w:val="aa"/>
        <w:jc w:val="left"/>
      </w:pPr>
      <w:r>
        <w:rPr>
          <w:position w:val="0"/>
          <w:sz w:val="20"/>
          <w:szCs w:val="20"/>
        </w:rPr>
        <w:t xml:space="preserve">Society of Actuaries (SOA). "Advanced Topics in Predictive Analytics (ATPA) Assessment." 2026a. https://www.soa.org/education/exam-req/edu-exam-atpa/ (접속일: 2026.10.20.)</w:t>
      </w:r>
    </w:p>
    <w:p>
      <w:pPr>
        <w:pStyle w:val="aa"/>
        <w:jc w:val="left"/>
      </w:pPr>
      <w:r>
        <w:rPr>
          <w:position w:val="0"/>
          <w:sz w:val="20"/>
          <w:szCs w:val="20"/>
        </w:rPr>
        <w:t xml:space="preserve">Society of Actuaries (SOA). "Predictive Analytics (PA) Exam." 2026b. https://www.soa.org/education/exam-req/edu-exam-pa-detail/ (접속일: 2026.10.20.)</w:t>
      </w:r>
    </w:p>
    <w:p>
      <w:pPr>
        <w:pStyle w:val="aa"/>
        <w:jc w:val="left"/>
      </w:pPr>
      <w:r>
        <w:rPr>
          <w:position w:val="0"/>
          <w:sz w:val="20"/>
          <w:szCs w:val="20"/>
        </w:rPr>
        <w:t xml:space="preserve">Society of Actuaries (SOA). "Statistics for Risk Modeling (SRM) Exam." 2026c. https://www.soa.org/education/exam-req/edu-exam-srm-detail/ (접속일: 2026.10.20.)</w:t>
      </w:r>
    </w:p>
    <w:p>
      <w:pPr>
        <w:pStyle w:val="aa"/>
        <w:jc w:val="left"/>
      </w:pPr>
      <w:r>
        <w:rPr>
          <w:position w:val="0"/>
          <w:sz w:val="20"/>
          <w:szCs w:val="20"/>
        </w:rPr>
        <w:t xml:space="preserve">University of Southampton. "Southampton Data Science Academy to Deliver IFoA Certificate in Data Science." 2020. https://www.southampton.ac.uk/wsi/news/2020/02/ifoa-certification.page (접속일: 2026.10.20.)</w:t>
      </w:r>
    </w:p>
    <w:p>
      <w:r>
        <w:br w:type="page"/>
      </w:r>
    </w:p>
    <w:p>
      <w:pPr>
        <w:pStyle w:val="a9"/>
      </w:pPr>
      <w:r>
        <w:rPr>
          <w:position w:val="0"/>
        </w:rPr>
        <w:t xml:space="preserve">&lt;Abstract&gt;</w:t>
      </w:r>
    </w:p>
    <w:p>
      <w:pPr>
        <w:pStyle w:val="1"/>
        <w:spacing w:line="320" w:lineRule="auto"/>
        <w:rPr>
          <w:position w:val="0"/>
        </w:rPr>
      </w:pPr>
      <w:r>
        <w:rPr>
          <w:position w:val="0"/>
          <w:sz w:val="20"/>
          <w:szCs w:val="20"/>
        </w:rPr>
        <w:t xml:space="preserve">This study examines whether the Korean actuarial examination should place greater weight on statistics and data science in response to diversifying risks and increasingly sophisticated risk management techniques. Using the current Associateship pathway of the Society of Actuaries (SOA) as a reference, we classify data science competence into three tiers: foundational theory, foundational practice, and advanced project-based practice. We then compare the Korean examination with the qualification systems of the SOA, the Casualty Actuarial Society (CAS), the Canadian Institute of Actuaries (CIA) and the Institute and Faculty of Actuaries (IFoA), based on the published materials of each body. All four overseas bodies include statistical learning theory in their requirements and operate practical assessments that use software and data, although their assessment methods differ. No explicit counterpart was found in the Korean examination. Based on these findings, we discuss a phased expansion of the syllabus and the introduction of practical assessments.</w:t>
      </w:r>
    </w:p>
    <w:p>
      <w:pPr>
        <w:pStyle w:val="1"/>
      </w:pPr>
    </w:p>
    <w:p>
      <w:pPr>
        <w:pStyle w:val="af1"/>
        <w:ind w:left="1041" w:hanging="1041"/>
      </w:pPr>
      <w:r>
        <w:rPr>
          <w:rFonts w:ascii="KoPub돋움체 Bold" w:eastAsia="KoPub돋움체 Bold" w:hAnsi="KoPub돋움체 Bold"/>
          <w:position w:val="0"/>
          <w:sz w:val="20"/>
          <w:szCs w:val="20"/>
        </w:rPr>
        <w:t xml:space="preserve">Keywords</w:t>
      </w:r>
      <w:r>
        <w:rPr>
          <w:position w:val="0"/>
          <w:sz w:val="20"/>
          <w:szCs w:val="20"/>
        </w:rPr>
        <w:t xml:space="preserve">：Actuarial Examination, Data Science, Predictive Analytics, Actuarial Education, Comparative Study of Qualifications</w:t>
      </w:r>
    </w:p>
    <w:sectPr w:rsidR="009833E6">
      <w:type w:val="continuous"/>
      <w:pgSz w:w="9637" w:h="13946"/>
      <w:pgMar w:top="1984" w:right="1303" w:bottom="1417" w:left="1303" w:header="85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ABEDB94" w14:textId="77777777" w:rsidR="00F013CB" w:rsidRDefault="00F013CB">
      <w:pPr>
        <w:spacing w:line="240" w:lineRule="auto"/>
      </w:pPr>
      <w:r>
        <w:separator/>
      </w:r>
    </w:p>
  </w:endnote>
  <w:endnote w:type="continuationSeparator" w:id="0">
    <w:p w14:paraId="281FB695" w14:textId="77777777" w:rsidR="00F013CB" w:rsidRDefault="00F013C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KoPub바탕체 Light">
    <w:altName w:val="Batang"/>
    <w:panose1 w:val="00000000000000000000"/>
    <w:charset w:val="81"/>
    <w:family w:val="roman"/>
    <w:notTrueType/>
    <w:pitch w:val="default"/>
  </w:font>
  <w:font w:name="Times New Roman">
    <w:panose1 w:val="02020603050405020304"/>
    <w:charset w:val="00"/>
    <w:family w:val="roman"/>
    <w:pitch w:val="variable"/>
    <w:sig w:usb0="E0002EFF" w:usb1="C000785B" w:usb2="00000009" w:usb3="00000000" w:csb0="000001FF" w:csb1="00000000"/>
  </w:font>
  <w:font w:name="KoPub돋움체 Bold">
    <w:altName w:val="Batang"/>
    <w:panose1 w:val="00000000000000000000"/>
    <w:charset w:val="81"/>
    <w:family w:val="roman"/>
    <w:notTrueType/>
    <w:pitch w:val="default"/>
  </w:font>
  <w:font w:name="KoPub돋움체 Medium">
    <w:altName w:val="Batang"/>
    <w:panose1 w:val="00000000000000000000"/>
    <w:charset w:val="81"/>
    <w:family w:val="roman"/>
    <w:notTrueType/>
    <w:pitch w:val="default"/>
  </w:font>
  <w:font w:name="KoPub돋움체 Light">
    <w:altName w:val="Batang"/>
    <w:panose1 w:val="00000000000000000000"/>
    <w:charset w:val="81"/>
    <w:family w:val="roman"/>
    <w:notTrueType/>
    <w:pitch w:val="default"/>
  </w:font>
  <w:font w:name="Dinmed">
    <w:panose1 w:val="00000000000000000000"/>
    <w:charset w:val="00"/>
    <w:family w:val="roman"/>
    <w:notTrueType/>
    <w:pitch w:val="default"/>
  </w:font>
  <w:font w:name="KoPub바탕체 Bold">
    <w:altName w:val="Batang"/>
    <w:panose1 w:val="00000000000000000000"/>
    <w:charset w:val="81"/>
    <w:family w:val="roman"/>
    <w:notTrueType/>
    <w:pitch w:val="default"/>
  </w:font>
  <w:font w:name="KabMathe2">
    <w:panose1 w:val="00000000000000000000"/>
    <w:charset w:val="00"/>
    <w:family w:val="roman"/>
    <w:notTrueType/>
    <w:pitch w:val="default"/>
  </w:font>
  <w:font w:name="-윤명조130">
    <w:altName w:val="Batang"/>
    <w:panose1 w:val="00000000000000000000"/>
    <w:charset w:val="81"/>
    <w:family w:val="roman"/>
    <w:notTrueType/>
    <w:pitch w:val="default"/>
  </w:font>
  <w:font w:name="Yoon 윤고딕 145_TT">
    <w:panose1 w:val="00000000000000000000"/>
    <w:charset w:val="81"/>
    <w:family w:val="roman"/>
    <w:notTrueType/>
    <w:pitch w:val="default"/>
  </w:font>
  <w:font w:name="DINPro-Medium">
    <w:altName w:val="Times New Roman"/>
    <w:panose1 w:val="00000000000000000000"/>
    <w:charset w:val="00"/>
    <w:family w:val="roman"/>
    <w:notTrueType/>
    <w:pitch w:val="default"/>
  </w:font>
  <w:font w:name="Yoon 윤명조 145_TT">
    <w:panose1 w:val="00000000000000000000"/>
    <w:charset w:val="81"/>
    <w:family w:val="roman"/>
    <w:notTrueType/>
    <w:pitch w:val="default"/>
  </w:font>
  <w:font w:name="Dotum">
    <w:altName w:val="돋움"/>
    <w:panose1 w:val="020B0600000101010101"/>
    <w:charset w:val="81"/>
    <w:family w:val="swiss"/>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Batang">
    <w:altName w:val="바탕"/>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A0D645B" w14:textId="77777777" w:rsidR="00F013CB" w:rsidRDefault="00F013CB">
      <w:pPr>
        <w:spacing w:line="240" w:lineRule="auto"/>
      </w:pPr>
      <w:r>
        <w:separator/>
      </w:r>
    </w:p>
  </w:footnote>
  <w:footnote w:type="continuationSeparator" w:id="0">
    <w:p w14:paraId="3C30ACF2" w14:textId="77777777" w:rsidR="00F013CB" w:rsidRDefault="00F013CB">
      <w:pPr>
        <w:spacing w:line="240" w:lineRule="auto"/>
      </w:pPr>
      <w:r>
        <w:continuationSeparator/>
      </w:r>
    </w:p>
  </w:footnote>
  <w:footnote w:id="1">
    <w:p w14:paraId="4850B815" w14:textId="40484257" w:rsidR="009833E6" w:rsidRDefault="003F4981">
      <w:pPr>
        <w:pStyle w:val="af"/>
        <w:rPr>
          <w:spacing w:val="-18"/>
        </w:rPr>
      </w:pPr>
      <w:r>
        <w:rPr>
          <w:spacing w:val="-18"/>
        </w:rPr>
        <w:t xml:space="preserve">* </w:t>
      </w:r>
      <w:r w:rsidR="00E57EA8" w:rsidRPr="00E57EA8">
        <w:rPr>
          <w:spacing w:val="-18"/>
        </w:rPr>
        <w:t>This paper received support from [Specify the source of research support</w:t>
      </w:r>
      <w:proofErr w:type="gramStart"/>
      <w:r w:rsidR="00E57EA8" w:rsidRPr="00E57EA8">
        <w:rPr>
          <w:spacing w:val="-18"/>
        </w:rPr>
        <w:t>].</w:t>
      </w:r>
      <w:r>
        <w:rPr>
          <w:spacing w:val="-18"/>
        </w:rPr>
        <w:t>.</w:t>
      </w:r>
      <w:proofErr w:type="gramEnd"/>
    </w:p>
    <w:p w14:paraId="3C54029D" w14:textId="77777777" w:rsidR="009833E6" w:rsidRDefault="003F4981">
      <w:pPr>
        <w:pStyle w:val="af"/>
      </w:pPr>
      <w:r>
        <w:t xml:space="preserve">논문투고일: 20**. **. ** 논문수정일: 20**. **. ** 게재확정일: 20**. **. ** </w:t>
      </w:r>
    </w:p>
  </w:footnote>
  <w:footnote w:id="2">
    <w:p>
      <w:pPr>
        <w:pStyle w:val="af"/>
      </w:pPr>
      <w:r>
        <w:rPr>
          <w:vertAlign w:val="superscript"/>
        </w:rPr>
        <w:footnoteRef/>
      </w:r>
      <w:r>
        <w:rPr>
          <w:position w:val="0"/>
          <w:sz w:val="18"/>
          <w:szCs w:val="18"/>
        </w:rPr>
        <w:t xml:space="preserve"> 한국보험계리사회(Institute of Actuaries of Korea)는 계리사의 직업 단체로서 자격시험을 주관하지 않는다. 본 연구에서 비교하는 대상은 국가자격시험인 보험계리사 시험이다.</w:t>
      </w:r>
    </w:p>
  </w:footnote>
  <w:footnote w:id="3">
    <w:p>
      <w:pPr>
        <w:pStyle w:val="af"/>
      </w:pPr>
      <w:r>
        <w:rPr>
          <w:vertAlign w:val="superscript"/>
        </w:rPr>
        <w:footnoteRef/>
      </w:r>
      <w:r>
        <w:rPr>
          <w:position w:val="0"/>
          <w:sz w:val="18"/>
          <w:szCs w:val="18"/>
        </w:rPr>
        <w:t xml:space="preserve"> ACIA 자격의 종합시험(Capstone Exam)은 오픈북 형식의 응용·통합형 시험으로, 예측분석 내용을 일부 포함할 수 있으나 데이터사이언스 과제를 독립적으로 평가하는 시험은 아니다(CIA, 2026b).</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E41A25" w14:textId="77777777" w:rsidR="009833E6" w:rsidRDefault="003F4981">
    <w:pPr>
      <w:pStyle w:val="a3"/>
      <w:spacing w:line="270" w:lineRule="auto"/>
      <w:rPr>
        <w:rFonts w:ascii="KoPub돋움체 Light" w:eastAsia="KoPub돋움체 Light"/>
        <w:w w:val="95"/>
        <w:sz w:val="16"/>
      </w:rPr>
    </w:pPr>
    <w:proofErr w:type="spellStart"/>
    <w:r>
      <w:rPr>
        <w:rFonts w:ascii="KoPub돋움체 Light" w:eastAsia="KoPub돋움체 Light"/>
        <w:w w:val="95"/>
        <w:sz w:val="16"/>
      </w:rPr>
      <w:t>리스크관리연구</w:t>
    </w:r>
    <w:proofErr w:type="spellEnd"/>
    <w:r>
      <w:rPr>
        <w:rFonts w:ascii="KoPub돋움체 Light" w:eastAsia="KoPub돋움체 Light"/>
        <w:w w:val="95"/>
        <w:sz w:val="16"/>
      </w:rPr>
      <w:t xml:space="preserve"> 제 **권 제 *호 (20*</w:t>
    </w:r>
    <w:proofErr w:type="gramStart"/>
    <w:r>
      <w:rPr>
        <w:rFonts w:ascii="KoPub돋움체 Light" w:eastAsia="KoPub돋움체 Light"/>
        <w:w w:val="95"/>
        <w:sz w:val="16"/>
      </w:rPr>
      <w:t>*.*</w:t>
    </w:r>
    <w:proofErr w:type="gramEnd"/>
    <w:r>
      <w:rPr>
        <w:rFonts w:ascii="KoPub돋움체 Light" w:eastAsia="KoPub돋움체 Light"/>
        <w:w w:val="95"/>
        <w:sz w:val="16"/>
      </w:rPr>
      <w:t>): pp. **~**</w:t>
    </w:r>
  </w:p>
  <w:p w14:paraId="31CBB6C3" w14:textId="77777777" w:rsidR="009833E6" w:rsidRDefault="003F4981">
    <w:pPr>
      <w:pStyle w:val="a3"/>
      <w:spacing w:line="270" w:lineRule="auto"/>
      <w:rPr>
        <w:rFonts w:ascii="KoPub돋움체 Light" w:eastAsia="KoPub돋움체 Light"/>
        <w:w w:val="95"/>
        <w:sz w:val="16"/>
      </w:rPr>
    </w:pPr>
    <w:r>
      <w:rPr>
        <w:rFonts w:ascii="KoPub돋움체 Light" w:eastAsia="KoPub돋움체 Light"/>
        <w:w w:val="95"/>
        <w:sz w:val="16"/>
      </w:rPr>
      <w:t>dx.doi.org/10.21480/</w:t>
    </w:r>
    <w:proofErr w:type="spellStart"/>
    <w:r>
      <w:rPr>
        <w:rFonts w:ascii="KoPub돋움체 Light" w:eastAsia="KoPub돋움체 Light"/>
        <w:w w:val="95"/>
        <w:sz w:val="16"/>
      </w:rPr>
      <w:t>tjrm</w:t>
    </w:r>
    <w:proofErr w:type="spellEnd"/>
    <w:r>
      <w:rPr>
        <w:rFonts w:ascii="KoPub돋움체 Light" w:eastAsia="KoPub돋움체 Light"/>
        <w:w w:val="95"/>
        <w:sz w:val="16"/>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950234"/>
    <w:multiLevelType w:val="hybridMultilevel"/>
    <w:tmpl w:val="538A6696"/>
    <w:lvl w:ilvl="0" w:tplc="07C0B650">
      <w:start w:val="1"/>
      <w:numFmt w:val="decimal"/>
      <w:suff w:val="nothing"/>
      <w:lvlText w:val="%1."/>
      <w:lvlJc w:val="left"/>
      <w:pPr>
        <w:ind w:left="0" w:hanging="50"/>
      </w:pPr>
    </w:lvl>
    <w:lvl w:ilvl="1" w:tplc="D39244FC">
      <w:start w:val="1"/>
      <w:numFmt w:val="ganada"/>
      <w:suff w:val="nothing"/>
      <w:lvlText w:val="%2."/>
      <w:lvlJc w:val="left"/>
      <w:pPr>
        <w:ind w:left="0" w:hanging="50"/>
      </w:pPr>
    </w:lvl>
    <w:lvl w:ilvl="2" w:tplc="CB9CC994">
      <w:start w:val="1"/>
      <w:numFmt w:val="decimal"/>
      <w:suff w:val="nothing"/>
      <w:lvlText w:val="%3)"/>
      <w:lvlJc w:val="left"/>
      <w:pPr>
        <w:ind w:left="0" w:hanging="50"/>
      </w:pPr>
    </w:lvl>
    <w:lvl w:ilvl="3" w:tplc="EA902D96">
      <w:start w:val="1"/>
      <w:numFmt w:val="ganada"/>
      <w:suff w:val="nothing"/>
      <w:lvlText w:val="%4)"/>
      <w:lvlJc w:val="left"/>
      <w:pPr>
        <w:ind w:left="0" w:hanging="50"/>
      </w:pPr>
    </w:lvl>
    <w:lvl w:ilvl="4" w:tplc="473E9BE8">
      <w:start w:val="1"/>
      <w:numFmt w:val="decimal"/>
      <w:suff w:val="nothing"/>
      <w:lvlText w:val="(%5)"/>
      <w:lvlJc w:val="left"/>
      <w:pPr>
        <w:ind w:left="0" w:hanging="50"/>
      </w:pPr>
    </w:lvl>
    <w:lvl w:ilvl="5" w:tplc="A7921204">
      <w:start w:val="1"/>
      <w:numFmt w:val="ganada"/>
      <w:suff w:val="nothing"/>
      <w:lvlText w:val="(%6)"/>
      <w:lvlJc w:val="left"/>
      <w:pPr>
        <w:ind w:left="0" w:hanging="50"/>
      </w:pPr>
    </w:lvl>
    <w:lvl w:ilvl="6" w:tplc="6A281976">
      <w:start w:val="1"/>
      <w:numFmt w:val="decimalEnclosedCircle"/>
      <w:suff w:val="nothing"/>
      <w:lvlText w:val="%7"/>
      <w:lvlJc w:val="left"/>
      <w:pPr>
        <w:ind w:left="0" w:hanging="50"/>
      </w:pPr>
    </w:lvl>
    <w:lvl w:ilvl="7" w:tplc="18A00B52">
      <w:numFmt w:val="decimal"/>
      <w:lvlText w:val=""/>
      <w:lvlJc w:val="left"/>
    </w:lvl>
    <w:lvl w:ilvl="8" w:tplc="A69C186E">
      <w:numFmt w:val="decimal"/>
      <w:lvlText w:val=""/>
      <w:lvlJc w:val="left"/>
    </w:lvl>
  </w:abstractNum>
  <w:abstractNum w:abstractNumId="1" w15:restartNumberingAfterBreak="0">
    <w:nsid w:val="5170745C"/>
    <w:multiLevelType w:val="multilevel"/>
    <w:tmpl w:val="898E9CB2"/>
    <w:lvl w:ilvl="0">
      <w:start w:val="1"/>
      <w:numFmt w:val="decimal"/>
      <w:suff w:val="nothing"/>
      <w:lvlText w:val="%1."/>
      <w:lvlJc w:val="left"/>
    </w:lvl>
    <w:lvl w:ilvl="1">
      <w:numFmt w:val="decimal"/>
      <w:suff w:val="nothing"/>
      <w:lvlText w:val="%1.%2."/>
      <w:lvlJc w:val="left"/>
    </w:lvl>
    <w:lvl w:ilvl="2">
      <w:numFmt w:val="decimal"/>
      <w:suff w:val="nothing"/>
      <w:lvlText w:val="%1.%2.%3."/>
      <w:lvlJc w:val="left"/>
    </w:lvl>
    <w:lvl w:ilvl="3">
      <w:numFmt w:val="decimal"/>
      <w:suff w:val="nothing"/>
      <w:lvlText w:val="%1.%2.%3.%4."/>
      <w:lvlJc w:val="left"/>
    </w:lvl>
    <w:lvl w:ilvl="4">
      <w:numFmt w:val="decimal"/>
      <w:suff w:val="nothing"/>
      <w:lvlText w:val="%1.%2.%3.%4.%5."/>
      <w:lvlJc w:val="left"/>
    </w:lvl>
    <w:lvl w:ilvl="5">
      <w:numFmt w:val="decimal"/>
      <w:suff w:val="nothing"/>
      <w:lvlText w:val="%1.%2.%3.%4.%5.%6."/>
      <w:lvlJc w:val="left"/>
    </w:lvl>
    <w:lvl w:ilvl="6">
      <w:numFmt w:val="decimal"/>
      <w:suff w:val="nothing"/>
      <w:lvlText w:val="%1.%2.%3.%4.%5.%6.%7."/>
      <w:lvlJc w:val="left"/>
    </w:lvl>
    <w:lvl w:ilvl="7">
      <w:numFmt w:val="decimal"/>
      <w:lvlText w:val=""/>
      <w:lvlJc w:val="left"/>
    </w:lvl>
    <w:lvl w:ilvl="8">
      <w:numFmt w:val="decimal"/>
      <w:lvlText w:val=""/>
      <w:lvlJc w:val="left"/>
    </w:lvl>
  </w:abstractNum>
  <w:abstractNum w:abstractNumId="2" w15:restartNumberingAfterBreak="0">
    <w:nsid w:val="5CB54541"/>
    <w:multiLevelType w:val="hybridMultilevel"/>
    <w:tmpl w:val="47560A4C"/>
    <w:lvl w:ilvl="0" w:tplc="4B684462">
      <w:start w:val="1"/>
      <w:numFmt w:val="decimal"/>
      <w:suff w:val="nothing"/>
      <w:lvlText w:val="%1."/>
      <w:lvlJc w:val="left"/>
      <w:pPr>
        <w:ind w:left="0" w:hanging="50"/>
      </w:pPr>
    </w:lvl>
    <w:lvl w:ilvl="1" w:tplc="B050687C">
      <w:start w:val="1"/>
      <w:numFmt w:val="ganada"/>
      <w:suff w:val="nothing"/>
      <w:lvlText w:val="%2."/>
      <w:lvlJc w:val="left"/>
      <w:pPr>
        <w:ind w:left="0" w:hanging="50"/>
      </w:pPr>
    </w:lvl>
    <w:lvl w:ilvl="2" w:tplc="F4CCE1F0">
      <w:start w:val="1"/>
      <w:numFmt w:val="decimal"/>
      <w:suff w:val="nothing"/>
      <w:lvlText w:val="%3)"/>
      <w:lvlJc w:val="left"/>
      <w:pPr>
        <w:ind w:left="0" w:hanging="50"/>
      </w:pPr>
    </w:lvl>
    <w:lvl w:ilvl="3" w:tplc="7076F0C4">
      <w:start w:val="1"/>
      <w:numFmt w:val="ganada"/>
      <w:suff w:val="nothing"/>
      <w:lvlText w:val="%4)"/>
      <w:lvlJc w:val="left"/>
      <w:pPr>
        <w:ind w:left="0" w:hanging="50"/>
      </w:pPr>
    </w:lvl>
    <w:lvl w:ilvl="4" w:tplc="4FBC663E">
      <w:start w:val="1"/>
      <w:numFmt w:val="decimal"/>
      <w:suff w:val="nothing"/>
      <w:lvlText w:val="(%5)"/>
      <w:lvlJc w:val="left"/>
      <w:pPr>
        <w:ind w:left="0" w:hanging="50"/>
      </w:pPr>
    </w:lvl>
    <w:lvl w:ilvl="5" w:tplc="B5A654DE">
      <w:start w:val="1"/>
      <w:numFmt w:val="ganada"/>
      <w:suff w:val="nothing"/>
      <w:lvlText w:val="(%6)"/>
      <w:lvlJc w:val="left"/>
      <w:pPr>
        <w:ind w:left="0" w:hanging="50"/>
      </w:pPr>
    </w:lvl>
    <w:lvl w:ilvl="6" w:tplc="2A64CA86">
      <w:start w:val="1"/>
      <w:numFmt w:val="decimalEnclosedCircle"/>
      <w:suff w:val="nothing"/>
      <w:lvlText w:val="%7"/>
      <w:lvlJc w:val="left"/>
      <w:pPr>
        <w:ind w:left="0" w:hanging="50"/>
      </w:pPr>
    </w:lvl>
    <w:lvl w:ilvl="7" w:tplc="04569AC2">
      <w:numFmt w:val="decimal"/>
      <w:lvlText w:val=""/>
      <w:lvlJc w:val="left"/>
    </w:lvl>
    <w:lvl w:ilvl="8" w:tplc="70C80D86">
      <w:numFmt w:val="decimal"/>
      <w:lvlText w:val=""/>
      <w:lvlJc w:val="left"/>
    </w:lvl>
  </w:abstractNum>
  <w:abstractNum w:abstractNumId="3" w15:restartNumberingAfterBreak="0">
    <w:nsid w:val="7DF31CF6"/>
    <w:multiLevelType w:val="singleLevel"/>
    <w:tmpl w:val="92926F90"/>
    <w:lvl w:ilvl="0">
      <w:start w:val="1"/>
      <w:numFmt w:val="bullet"/>
      <w:suff w:val="nothing"/>
      <w:lvlText w:val="●"/>
      <w:lvlJc w:val="left"/>
    </w:lvl>
  </w:abstractNum>
  <w:num w:numId="1" w16cid:durableId="653946671">
    <w:abstractNumId w:val="2"/>
  </w:num>
  <w:num w:numId="2" w16cid:durableId="264339339">
    <w:abstractNumId w:val="0"/>
  </w:num>
  <w:num w:numId="3" w16cid:durableId="1046829782">
    <w:abstractNumId w:val="1"/>
  </w:num>
  <w:num w:numId="4" w16cid:durableId="6484361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mirrorMargins/>
  <w:bordersDoNotSurroundHeader/>
  <w:bordersDoNotSurroundFooter/>
  <w:proofState w:spelling="clean" w:grammar="clean"/>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3E6"/>
    <w:rsid w:val="001F665C"/>
    <w:rsid w:val="003F4981"/>
    <w:rsid w:val="00430FFF"/>
    <w:rsid w:val="004932B2"/>
    <w:rsid w:val="00681F69"/>
    <w:rsid w:val="00754DA0"/>
    <w:rsid w:val="009833E6"/>
    <w:rsid w:val="00DA1C34"/>
    <w:rsid w:val="00E2199F"/>
    <w:rsid w:val="00E57EA8"/>
    <w:rsid w:val="00F013CB"/>
    <w:rsid w:val="00F371C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6D3A7"/>
  <w15:docId w15:val="{F64EDC73-8C6F-45CB-BCB1-9B220DEDE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KoPub바탕체 Light" w:eastAsia="KoPub바탕체 Light" w:hAnsi="Times New Roman" w:cs="Times New Roman"/>
        <w:color w:val="000000"/>
        <w:bdr w:val="none" w:sz="2" w:space="0" w:color="auto"/>
        <w:lang w:val="en-US" w:eastAsia="ko-KR" w:bidi="ar-SA"/>
      </w:rPr>
    </w:rPrDefault>
    <w:pPrDefault>
      <w:pPr>
        <w:pBdr>
          <w:top w:val="none" w:sz="2" w:space="0" w:color="auto"/>
          <w:left w:val="none" w:sz="2" w:space="0" w:color="auto"/>
          <w:bottom w:val="none" w:sz="2" w:space="0" w:color="auto"/>
          <w:right w:val="none" w:sz="2" w:space="0" w:color="auto"/>
        </w:pBdr>
        <w:wordWrap w:val="0"/>
        <w:snapToGrid w:val="0"/>
        <w:spacing w:line="342" w:lineRule="auto"/>
        <w:jc w:val="both"/>
        <w:textAlignment w:val="baseline"/>
      </w:pPr>
    </w:pPrDefault>
  </w:docDefaults>
  <w:latentStyles w:defLockedState="1"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35" w:qFormat="1"/>
    <w:lsdException w:name="Closing" w:semiHidden="1" w:unhideWhenUsed="1"/>
    <w:lsdException w:name="Signature" w:semiHidden="1" w:unhideWhenUsed="1"/>
    <w:lsdException w:name="Default Paragraph Font" w:uiPriority="10"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1" w:qFormat="1"/>
    <w:lsdException w:name="Emphasis"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20" w:qFormat="1"/>
    <w:lsdException w:name="Table Theme" w:semiHidden="1" w:unhideWhenUsed="1"/>
    <w:lsdException w:name="Placeholder Text" w:uiPriority="59"/>
    <w:lsdException w:name="No Spacing" w:semiHidden="1"/>
    <w:lsdException w:name="Light Shading" w:uiPriority="1" w:qFormat="1"/>
    <w:lsdException w:name="Light List" w:uiPriority="60"/>
    <w:lsdException w:name="Light Grid" w:uiPriority="61"/>
    <w:lsdException w:name="Medium Shading 1" w:uiPriority="62"/>
    <w:lsdException w:name="Medium Shading 2" w:uiPriority="63"/>
    <w:lsdException w:name="Medium List 1" w:uiPriority="64"/>
    <w:lsdException w:name="Medium List 2" w:uiPriority="65"/>
    <w:lsdException w:name="Medium Grid 1" w:uiPriority="66"/>
    <w:lsdException w:name="Medium Grid 2" w:uiPriority="67"/>
    <w:lsdException w:name="Medium Grid 3" w:uiPriority="68"/>
    <w:lsdException w:name="Dark List" w:uiPriority="69"/>
    <w:lsdException w:name="Colorful Shading" w:uiPriority="70"/>
    <w:lsdException w:name="Colorful List" w:uiPriority="71"/>
    <w:lsdException w:name="Colorful Grid" w:uiPriority="72"/>
    <w:lsdException w:name="Light Shading Accent 1" w:uiPriority="73"/>
    <w:lsdException w:name="Light List Accent 1" w:uiPriority="60"/>
    <w:lsdException w:name="Light Grid Accent 1" w:uiPriority="61"/>
    <w:lsdException w:name="Medium Shading 1 Accent 1" w:uiPriority="62"/>
    <w:lsdException w:name="Medium Shading 2 Accent 1" w:uiPriority="63"/>
    <w:lsdException w:name="Medium List 1 Accent 1" w:uiPriority="64"/>
    <w:lsdException w:name="Revision" w:uiPriority="65"/>
    <w:lsdException w:name="Quote" w:uiPriority="34" w:qFormat="1"/>
    <w:lsdException w:name="Intense Quote" w:uiPriority="29" w:qFormat="1"/>
    <w:lsdException w:name="Medium List 2 Accent 1" w:uiPriority="30" w:qFormat="1"/>
    <w:lsdException w:name="Medium Grid 1 Accent 1" w:uiPriority="66"/>
    <w:lsdException w:name="Medium Grid 2 Accent 1" w:uiPriority="67"/>
    <w:lsdException w:name="Medium Grid 3 Accent 1" w:uiPriority="68"/>
    <w:lsdException w:name="Dark List Accent 1" w:uiPriority="69"/>
    <w:lsdException w:name="Colorful Shading Accent 1" w:uiPriority="70"/>
    <w:lsdException w:name="Colorful List Accent 1" w:uiPriority="71"/>
    <w:lsdException w:name="Colorful Grid Accent 1" w:uiPriority="72"/>
    <w:lsdException w:name="Light Shading Accent 2" w:uiPriority="73"/>
    <w:lsdException w:name="Light List Accent 2" w:uiPriority="60"/>
    <w:lsdException w:name="Light Grid Accent 2" w:uiPriority="61"/>
    <w:lsdException w:name="Medium Shading 1 Accent 2" w:uiPriority="62"/>
    <w:lsdException w:name="Medium Shading 2 Accent 2" w:uiPriority="63"/>
    <w:lsdException w:name="Medium List 1 Accent 2" w:uiPriority="64"/>
    <w:lsdException w:name="Medium List 2 Accent 2" w:uiPriority="65"/>
    <w:lsdException w:name="Medium Grid 1 Accent 2" w:uiPriority="66"/>
    <w:lsdException w:name="Medium Grid 2 Accent 2" w:uiPriority="67"/>
    <w:lsdException w:name="Medium Grid 3 Accent 2" w:uiPriority="68"/>
    <w:lsdException w:name="Dark List Accent 2" w:uiPriority="69"/>
    <w:lsdException w:name="Colorful Shading Accent 2" w:uiPriority="70"/>
    <w:lsdException w:name="Colorful List Accent 2" w:uiPriority="71"/>
    <w:lsdException w:name="Colorful Grid Accent 2" w:uiPriority="72"/>
    <w:lsdException w:name="Light Shading Accent 3" w:uiPriority="73"/>
    <w:lsdException w:name="Light List Accent 3" w:uiPriority="60"/>
    <w:lsdException w:name="Light Grid Accent 3" w:uiPriority="61"/>
    <w:lsdException w:name="Medium Shading 1 Accent 3" w:uiPriority="62"/>
    <w:lsdException w:name="Medium Shading 2 Accent 3" w:uiPriority="63"/>
    <w:lsdException w:name="Medium List 1 Accent 3" w:uiPriority="64"/>
    <w:lsdException w:name="Medium List 2 Accent 3" w:uiPriority="65"/>
    <w:lsdException w:name="Medium Grid 1 Accent 3" w:uiPriority="66"/>
    <w:lsdException w:name="Medium Grid 2 Accent 3" w:uiPriority="67"/>
    <w:lsdException w:name="Medium Grid 3 Accent 3" w:uiPriority="68"/>
    <w:lsdException w:name="Dark List Accent 3" w:uiPriority="69"/>
    <w:lsdException w:name="Colorful Shading Accent 3" w:uiPriority="70"/>
    <w:lsdException w:name="Colorful List Accent 3" w:uiPriority="71"/>
    <w:lsdException w:name="Colorful Grid Accent 3" w:uiPriority="72"/>
    <w:lsdException w:name="Light Shading Accent 4" w:uiPriority="73"/>
    <w:lsdException w:name="Light List Accent 4" w:uiPriority="60"/>
    <w:lsdException w:name="Light Grid Accent 4" w:uiPriority="61"/>
    <w:lsdException w:name="Medium Shading 1 Accent 4" w:uiPriority="62"/>
    <w:lsdException w:name="Medium Shading 2 Accent 4" w:uiPriority="63"/>
    <w:lsdException w:name="Medium List 1 Accent 4" w:uiPriority="64"/>
    <w:lsdException w:name="Medium List 2 Accent 4" w:uiPriority="65"/>
    <w:lsdException w:name="Medium Grid 1 Accent 4" w:uiPriority="66"/>
    <w:lsdException w:name="Medium Grid 2 Accent 4" w:uiPriority="67"/>
    <w:lsdException w:name="Medium Grid 3 Accent 4" w:uiPriority="68"/>
    <w:lsdException w:name="Dark List Accent 4" w:uiPriority="69"/>
    <w:lsdException w:name="Colorful Shading Accent 4" w:uiPriority="70"/>
    <w:lsdException w:name="Colorful List Accent 4" w:uiPriority="71"/>
    <w:lsdException w:name="Colorful Grid Accent 4" w:uiPriority="72"/>
    <w:lsdException w:name="Light Shading Accent 5" w:uiPriority="73"/>
    <w:lsdException w:name="Light List Accent 5" w:uiPriority="60"/>
    <w:lsdException w:name="Light Grid Accent 5" w:uiPriority="61"/>
    <w:lsdException w:name="Medium Shading 1 Accent 5" w:uiPriority="62"/>
    <w:lsdException w:name="Medium Shading 2 Accent 5" w:uiPriority="63"/>
    <w:lsdException w:name="Medium List 1 Accent 5" w:uiPriority="64"/>
    <w:lsdException w:name="Medium List 2 Accent 5" w:uiPriority="65"/>
    <w:lsdException w:name="Medium Grid 1 Accent 5" w:uiPriority="66"/>
    <w:lsdException w:name="Medium Grid 2 Accent 5" w:uiPriority="67"/>
    <w:lsdException w:name="Medium Grid 3 Accent 5" w:uiPriority="68"/>
    <w:lsdException w:name="Dark List Accent 5" w:uiPriority="69"/>
    <w:lsdException w:name="Colorful Shading Accent 5" w:uiPriority="70"/>
    <w:lsdException w:name="Colorful List Accent 5" w:uiPriority="71"/>
    <w:lsdException w:name="Colorful Grid Accent 5" w:uiPriority="72"/>
    <w:lsdException w:name="Light Shading Accent 6" w:uiPriority="73"/>
    <w:lsdException w:name="Light List Accent 6" w:uiPriority="60"/>
    <w:lsdException w:name="Light Grid Accent 6" w:uiPriority="61"/>
    <w:lsdException w:name="Medium Shading 1 Accent 6" w:uiPriority="62"/>
    <w:lsdException w:name="Medium Shading 2 Accent 6" w:uiPriority="63"/>
    <w:lsdException w:name="Medium List 1 Accent 6" w:uiPriority="64"/>
    <w:lsdException w:name="Medium List 2 Accent 6" w:uiPriority="65"/>
    <w:lsdException w:name="Medium Grid 1 Accent 6" w:uiPriority="66"/>
    <w:lsdException w:name="Medium Grid 2 Accent 6" w:uiPriority="67"/>
    <w:lsdException w:name="Medium Grid 3 Accent 6" w:uiPriority="68"/>
    <w:lsdException w:name="Dark List Accent 6" w:uiPriority="69"/>
    <w:lsdException w:name="Colorful Shading Accent 6" w:uiPriority="70"/>
    <w:lsdException w:name="Colorful List Accent 6" w:uiPriority="71"/>
    <w:lsdException w:name="Colorful Grid Accent 6" w:uiPriority="72"/>
    <w:lsdException w:name="Subtle Emphasis" w:uiPriority="73"/>
    <w:lsdException w:name="Intense Emphasis" w:uiPriority="19" w:qFormat="1"/>
    <w:lsdException w:name="Subtle Reference" w:uiPriority="21" w:qFormat="1"/>
    <w:lsdException w:name="Intense Reference" w:uiPriority="31" w:qFormat="1"/>
    <w:lsdException w:name="Book Title" w:uiPriority="32" w:qFormat="1"/>
    <w:lsdException w:name="Bibliography" w:uiPriority="33" w:qFormat="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a">
    <w:name w:val="Normal"/>
    <w:qFormat/>
    <w:pPr>
      <w:widowControl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style>
  <w:style w:type="paragraph" w:customStyle="1" w:styleId="1">
    <w:name w:val="본문1"/>
    <w:pPr>
      <w:tabs>
        <w:tab w:val="center" w:pos="3704"/>
        <w:tab w:val="right" w:pos="7271"/>
      </w:tabs>
      <w:ind w:firstLine="200"/>
    </w:pPr>
    <w:rPr>
      <w:sz w:val="20"/>
    </w:rPr>
  </w:style>
  <w:style w:type="paragraph" w:customStyle="1" w:styleId="a4">
    <w:name w:val="Ⅰ.서론"/>
    <w:rPr>
      <w:rFonts w:ascii="KoPub돋움체 Bold" w:eastAsia="KoPub돋움체 Bold"/>
      <w:sz w:val="30"/>
    </w:rPr>
  </w:style>
  <w:style w:type="paragraph" w:customStyle="1" w:styleId="11">
    <w:name w:val="1.(1"/>
    <w:aliases w:val="0)"/>
    <w:pPr>
      <w:spacing w:line="270" w:lineRule="auto"/>
      <w:ind w:left="200"/>
    </w:pPr>
    <w:rPr>
      <w:rFonts w:ascii="KoPub돋움체 Bold" w:eastAsia="KoPub돋움체 Bold"/>
      <w:sz w:val="26"/>
    </w:rPr>
  </w:style>
  <w:style w:type="paragraph" w:customStyle="1" w:styleId="110">
    <w:name w:val="1)(1"/>
    <w:aliases w:val="0)"/>
    <w:pPr>
      <w:spacing w:after="200"/>
      <w:ind w:left="300"/>
    </w:pPr>
    <w:rPr>
      <w:rFonts w:ascii="KoPub돋움체 Medium" w:eastAsia="KoPub돋움체 Medium"/>
      <w:sz w:val="24"/>
    </w:rPr>
  </w:style>
  <w:style w:type="paragraph" w:customStyle="1" w:styleId="10">
    <w:name w:val="(1)"/>
    <w:pPr>
      <w:spacing w:before="300" w:after="100"/>
      <w:ind w:left="200"/>
    </w:pPr>
    <w:rPr>
      <w:rFonts w:ascii="KoPub돋움체 Light" w:eastAsia="KoPub돋움체 Light"/>
      <w:sz w:val="22"/>
    </w:rPr>
  </w:style>
  <w:style w:type="paragraph" w:customStyle="1" w:styleId="a5">
    <w:name w:val="머리말_페이지"/>
    <w:pPr>
      <w:wordWrap/>
      <w:snapToGrid/>
      <w:spacing w:line="288" w:lineRule="auto"/>
      <w:jc w:val="center"/>
    </w:pPr>
    <w:rPr>
      <w:rFonts w:ascii="Dinmed" w:eastAsia="KoPub돋움체 Medium"/>
      <w:color w:val="FFFFFF"/>
    </w:rPr>
  </w:style>
  <w:style w:type="paragraph" w:customStyle="1" w:styleId="a6">
    <w:name w:val="한글색인어_"/>
    <w:next w:val="a7"/>
    <w:pPr>
      <w:tabs>
        <w:tab w:val="center" w:pos="3704"/>
        <w:tab w:val="right" w:pos="7271"/>
      </w:tabs>
      <w:spacing w:line="288" w:lineRule="auto"/>
    </w:pPr>
    <w:rPr>
      <w:rFonts w:ascii="KoPub돋움체 Light" w:eastAsia="KoPub돋움체 Light"/>
      <w:w w:val="95"/>
      <w:sz w:val="18"/>
    </w:rPr>
  </w:style>
  <w:style w:type="paragraph" w:customStyle="1" w:styleId="a8">
    <w:name w:val="국문초록_내용"/>
    <w:pPr>
      <w:tabs>
        <w:tab w:val="center" w:pos="3704"/>
        <w:tab w:val="right" w:pos="7271"/>
      </w:tabs>
      <w:spacing w:line="306" w:lineRule="auto"/>
      <w:ind w:firstLine="200"/>
    </w:pPr>
    <w:rPr>
      <w:rFonts w:ascii="KoPub돋움체 Light" w:eastAsia="KoPub돋움체 Light"/>
      <w:sz w:val="18"/>
    </w:rPr>
  </w:style>
  <w:style w:type="paragraph" w:customStyle="1" w:styleId="a9">
    <w:name w:val="&lt;참고문헌&gt;"/>
    <w:pPr>
      <w:wordWrap/>
      <w:spacing w:after="520" w:line="320" w:lineRule="auto"/>
      <w:jc w:val="center"/>
    </w:pPr>
    <w:rPr>
      <w:rFonts w:ascii="KoPub돋움체 Bold" w:eastAsia="KoPub돋움체 Bold"/>
      <w:sz w:val="26"/>
    </w:rPr>
  </w:style>
  <w:style w:type="paragraph" w:customStyle="1" w:styleId="aa">
    <w:name w:val="참고문헌 본문"/>
    <w:pPr>
      <w:ind w:left="703" w:hanging="703"/>
    </w:pPr>
    <w:rPr>
      <w:spacing w:val="-4"/>
    </w:rPr>
  </w:style>
  <w:style w:type="paragraph" w:customStyle="1" w:styleId="ab">
    <w:name w:val="저자이름"/>
    <w:pPr>
      <w:wordWrap/>
      <w:snapToGrid/>
      <w:spacing w:before="100" w:line="338" w:lineRule="auto"/>
      <w:jc w:val="right"/>
    </w:pPr>
    <w:rPr>
      <w:rFonts w:ascii="KoPub돋움체 Light" w:eastAsia="KoPub돋움체 Light"/>
      <w:w w:val="95"/>
    </w:rPr>
  </w:style>
  <w:style w:type="paragraph" w:customStyle="1" w:styleId="ac">
    <w:name w:val="저자이름_영문"/>
    <w:next w:val="a7"/>
    <w:pPr>
      <w:wordWrap/>
      <w:snapToGrid/>
      <w:spacing w:before="100" w:line="338" w:lineRule="auto"/>
      <w:jc w:val="right"/>
    </w:pPr>
    <w:rPr>
      <w:rFonts w:ascii="KoPub돋움체 Light" w:eastAsia="KoPub돋움체 Light"/>
      <w:spacing w:val="-5"/>
      <w:w w:val="90"/>
      <w:sz w:val="18"/>
    </w:rPr>
  </w:style>
  <w:style w:type="paragraph" w:customStyle="1" w:styleId="ad">
    <w:name w:val="논문제목"/>
    <w:pPr>
      <w:wordWrap/>
      <w:snapToGrid/>
      <w:spacing w:line="243" w:lineRule="auto"/>
      <w:ind w:left="300" w:right="300"/>
      <w:jc w:val="center"/>
    </w:pPr>
    <w:rPr>
      <w:rFonts w:ascii="KoPub돋움체 Bold" w:eastAsia="KoPub돋움체 Bold"/>
      <w:sz w:val="36"/>
    </w:rPr>
  </w:style>
  <w:style w:type="paragraph" w:customStyle="1" w:styleId="ae">
    <w:name w:val="논문(영문)제목"/>
    <w:pPr>
      <w:spacing w:line="243" w:lineRule="auto"/>
      <w:ind w:left="300" w:right="300"/>
      <w:jc w:val="center"/>
    </w:pPr>
    <w:rPr>
      <w:rFonts w:ascii="KoPub바탕체 Bold" w:eastAsia="KoPub바탕체 Bold"/>
      <w:sz w:val="28"/>
    </w:rPr>
  </w:style>
  <w:style w:type="paragraph" w:customStyle="1" w:styleId="af">
    <w:name w:val="각주"/>
    <w:pPr>
      <w:spacing w:line="252" w:lineRule="auto"/>
      <w:ind w:left="262" w:hanging="262"/>
    </w:pPr>
    <w:rPr>
      <w:spacing w:val="-5"/>
      <w:w w:val="95"/>
      <w:sz w:val="17"/>
    </w:rPr>
  </w:style>
  <w:style w:type="paragraph" w:customStyle="1" w:styleId="a7">
    <w:name w:val="머리말_짝"/>
    <w:pPr>
      <w:tabs>
        <w:tab w:val="center" w:pos="3118"/>
        <w:tab w:val="right" w:pos="6236"/>
      </w:tabs>
      <w:spacing w:line="252" w:lineRule="auto"/>
    </w:pPr>
    <w:rPr>
      <w:rFonts w:ascii="KoPub돋움체 Medium" w:eastAsia="KoPub돋움체 Medium"/>
      <w:spacing w:val="-5"/>
      <w:w w:val="95"/>
      <w:sz w:val="17"/>
    </w:rPr>
  </w:style>
  <w:style w:type="paragraph" w:customStyle="1" w:styleId="af0">
    <w:name w:val="머리말_홀"/>
    <w:pPr>
      <w:tabs>
        <w:tab w:val="center" w:pos="3118"/>
        <w:tab w:val="right" w:pos="6236"/>
      </w:tabs>
      <w:wordWrap/>
      <w:spacing w:line="252" w:lineRule="auto"/>
      <w:jc w:val="right"/>
    </w:pPr>
    <w:rPr>
      <w:rFonts w:ascii="KoPub돋움체 Medium" w:eastAsia="KoPub돋움체 Medium"/>
      <w:spacing w:val="-5"/>
      <w:w w:val="95"/>
      <w:sz w:val="17"/>
    </w:rPr>
  </w:style>
  <w:style w:type="paragraph" w:customStyle="1" w:styleId="af1">
    <w:name w:val="영문 키워드"/>
    <w:pPr>
      <w:tabs>
        <w:tab w:val="center" w:pos="3704"/>
        <w:tab w:val="right" w:pos="7271"/>
      </w:tabs>
      <w:ind w:left="1006" w:hanging="1006"/>
    </w:pPr>
    <w:rPr>
      <w:sz w:val="19"/>
    </w:rPr>
  </w:style>
  <w:style w:type="character" w:customStyle="1" w:styleId="af2">
    <w:name w:val="본문 볼드"/>
    <w:rPr>
      <w:rFonts w:ascii="KoPub돋움체 Bold" w:eastAsia="KoPub돋움체 Bold"/>
      <w:color w:val="000000"/>
      <w:spacing w:val="0"/>
      <w:w w:val="100"/>
      <w:position w:val="0"/>
      <w:sz w:val="20"/>
      <w:bdr w:val="none" w:sz="2" w:space="0" w:color="auto"/>
    </w:rPr>
  </w:style>
  <w:style w:type="character" w:customStyle="1" w:styleId="af3">
    <w:name w:val="본문_이탤릭"/>
    <w:rPr>
      <w:rFonts w:ascii="KabMathe2" w:eastAsia="KoPub바탕체 Light"/>
      <w:i/>
      <w:iCs/>
      <w:color w:val="000000"/>
      <w:spacing w:val="-2"/>
      <w:w w:val="100"/>
      <w:position w:val="1"/>
      <w:sz w:val="20"/>
      <w:bdr w:val="none" w:sz="2"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44809509">
      <w:bodyDiv w:val="1"/>
      <w:marLeft w:val="0"/>
      <w:marRight w:val="0"/>
      <w:marTop w:val="0"/>
      <w:marBottom w:val="0"/>
      <w:divBdr>
        <w:top w:val="none" w:sz="0" w:space="0" w:color="auto"/>
        <w:left w:val="none" w:sz="0" w:space="0" w:color="auto"/>
        <w:bottom w:val="none" w:sz="0" w:space="0" w:color="auto"/>
        <w:right w:val="none" w:sz="0" w:space="0" w:color="auto"/>
      </w:divBdr>
      <w:divsChild>
        <w:div w:id="1451120516">
          <w:marLeft w:val="0"/>
          <w:marRight w:val="0"/>
          <w:marTop w:val="0"/>
          <w:marBottom w:val="0"/>
          <w:divBdr>
            <w:top w:val="single" w:sz="2" w:space="0" w:color="D9D9E3"/>
            <w:left w:val="single" w:sz="2" w:space="0" w:color="D9D9E3"/>
            <w:bottom w:val="single" w:sz="2" w:space="0" w:color="D9D9E3"/>
            <w:right w:val="single" w:sz="2" w:space="0" w:color="D9D9E3"/>
          </w:divBdr>
          <w:divsChild>
            <w:div w:id="2007323713">
              <w:marLeft w:val="0"/>
              <w:marRight w:val="0"/>
              <w:marTop w:val="0"/>
              <w:marBottom w:val="0"/>
              <w:divBdr>
                <w:top w:val="single" w:sz="2" w:space="0" w:color="D9D9E3"/>
                <w:left w:val="single" w:sz="2" w:space="0" w:color="D9D9E3"/>
                <w:bottom w:val="single" w:sz="2" w:space="0" w:color="D9D9E3"/>
                <w:right w:val="single" w:sz="2" w:space="0" w:color="D9D9E3"/>
              </w:divBdr>
              <w:divsChild>
                <w:div w:id="1916745575">
                  <w:marLeft w:val="0"/>
                  <w:marRight w:val="0"/>
                  <w:marTop w:val="0"/>
                  <w:marBottom w:val="0"/>
                  <w:divBdr>
                    <w:top w:val="single" w:sz="2" w:space="0" w:color="D9D9E3"/>
                    <w:left w:val="single" w:sz="2" w:space="0" w:color="D9D9E3"/>
                    <w:bottom w:val="single" w:sz="2" w:space="0" w:color="D9D9E3"/>
                    <w:right w:val="single" w:sz="2" w:space="0" w:color="D9D9E3"/>
                  </w:divBdr>
                  <w:divsChild>
                    <w:div w:id="361395835">
                      <w:marLeft w:val="0"/>
                      <w:marRight w:val="0"/>
                      <w:marTop w:val="0"/>
                      <w:marBottom w:val="0"/>
                      <w:divBdr>
                        <w:top w:val="single" w:sz="2" w:space="0" w:color="D9D9E3"/>
                        <w:left w:val="single" w:sz="2" w:space="0" w:color="D9D9E3"/>
                        <w:bottom w:val="single" w:sz="2" w:space="0" w:color="D9D9E3"/>
                        <w:right w:val="single" w:sz="2" w:space="0" w:color="D9D9E3"/>
                      </w:divBdr>
                      <w:divsChild>
                        <w:div w:id="1141843251">
                          <w:marLeft w:val="0"/>
                          <w:marRight w:val="0"/>
                          <w:marTop w:val="0"/>
                          <w:marBottom w:val="0"/>
                          <w:divBdr>
                            <w:top w:val="single" w:sz="2" w:space="0" w:color="D9D9E3"/>
                            <w:left w:val="single" w:sz="2" w:space="0" w:color="D9D9E3"/>
                            <w:bottom w:val="single" w:sz="2" w:space="0" w:color="D9D9E3"/>
                            <w:right w:val="single" w:sz="2" w:space="0" w:color="D9D9E3"/>
                          </w:divBdr>
                          <w:divsChild>
                            <w:div w:id="865168897">
                              <w:marLeft w:val="0"/>
                              <w:marRight w:val="0"/>
                              <w:marTop w:val="100"/>
                              <w:marBottom w:val="100"/>
                              <w:divBdr>
                                <w:top w:val="single" w:sz="2" w:space="0" w:color="D9D9E3"/>
                                <w:left w:val="single" w:sz="2" w:space="0" w:color="D9D9E3"/>
                                <w:bottom w:val="single" w:sz="2" w:space="0" w:color="D9D9E3"/>
                                <w:right w:val="single" w:sz="2" w:space="0" w:color="D9D9E3"/>
                              </w:divBdr>
                              <w:divsChild>
                                <w:div w:id="1921795809">
                                  <w:marLeft w:val="0"/>
                                  <w:marRight w:val="0"/>
                                  <w:marTop w:val="0"/>
                                  <w:marBottom w:val="0"/>
                                  <w:divBdr>
                                    <w:top w:val="single" w:sz="2" w:space="0" w:color="D9D9E3"/>
                                    <w:left w:val="single" w:sz="2" w:space="0" w:color="D9D9E3"/>
                                    <w:bottom w:val="single" w:sz="2" w:space="0" w:color="D9D9E3"/>
                                    <w:right w:val="single" w:sz="2" w:space="0" w:color="D9D9E3"/>
                                  </w:divBdr>
                                  <w:divsChild>
                                    <w:div w:id="1885096371">
                                      <w:marLeft w:val="0"/>
                                      <w:marRight w:val="0"/>
                                      <w:marTop w:val="0"/>
                                      <w:marBottom w:val="0"/>
                                      <w:divBdr>
                                        <w:top w:val="single" w:sz="2" w:space="0" w:color="D9D9E3"/>
                                        <w:left w:val="single" w:sz="2" w:space="0" w:color="D9D9E3"/>
                                        <w:bottom w:val="single" w:sz="2" w:space="0" w:color="D9D9E3"/>
                                        <w:right w:val="single" w:sz="2" w:space="0" w:color="D9D9E3"/>
                                      </w:divBdr>
                                      <w:divsChild>
                                        <w:div w:id="313795613">
                                          <w:marLeft w:val="0"/>
                                          <w:marRight w:val="0"/>
                                          <w:marTop w:val="0"/>
                                          <w:marBottom w:val="0"/>
                                          <w:divBdr>
                                            <w:top w:val="single" w:sz="2" w:space="0" w:color="D9D9E3"/>
                                            <w:left w:val="single" w:sz="2" w:space="0" w:color="D9D9E3"/>
                                            <w:bottom w:val="single" w:sz="2" w:space="0" w:color="D9D9E3"/>
                                            <w:right w:val="single" w:sz="2" w:space="0" w:color="D9D9E3"/>
                                          </w:divBdr>
                                          <w:divsChild>
                                            <w:div w:id="837117493">
                                              <w:marLeft w:val="0"/>
                                              <w:marRight w:val="0"/>
                                              <w:marTop w:val="0"/>
                                              <w:marBottom w:val="0"/>
                                              <w:divBdr>
                                                <w:top w:val="single" w:sz="2" w:space="0" w:color="D9D9E3"/>
                                                <w:left w:val="single" w:sz="2" w:space="0" w:color="D9D9E3"/>
                                                <w:bottom w:val="single" w:sz="2" w:space="0" w:color="D9D9E3"/>
                                                <w:right w:val="single" w:sz="2" w:space="0" w:color="D9D9E3"/>
                                              </w:divBdr>
                                              <w:divsChild>
                                                <w:div w:id="761879960">
                                                  <w:marLeft w:val="0"/>
                                                  <w:marRight w:val="0"/>
                                                  <w:marTop w:val="0"/>
                                                  <w:marBottom w:val="0"/>
                                                  <w:divBdr>
                                                    <w:top w:val="single" w:sz="2" w:space="0" w:color="D9D9E3"/>
                                                    <w:left w:val="single" w:sz="2" w:space="0" w:color="D9D9E3"/>
                                                    <w:bottom w:val="single" w:sz="2" w:space="0" w:color="D9D9E3"/>
                                                    <w:right w:val="single" w:sz="2" w:space="0" w:color="D9D9E3"/>
                                                  </w:divBdr>
                                                  <w:divsChild>
                                                    <w:div w:id="3104043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10842580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D"/>
      </a:accent4>
      <a:accent5>
        <a:srgbClr val="4BACC6"/>
      </a:accent5>
      <a:accent6>
        <a:srgbClr val="F79649"/>
      </a:accent6>
      <a:hlink>
        <a:srgbClr val="0000FF"/>
      </a:hlink>
      <a:folHlink>
        <a:srgbClr val="800080"/>
      </a:folHlink>
    </a:clrScheme>
    <a:fontScheme name="">
      <a:majorFont>
        <a:latin typeface="맑은 고딕"/>
        <a:ea typeface=""/>
        <a:cs typeface=""/>
      </a:majorFont>
      <a:minorFont>
        <a:latin typeface="맑은 고딕"/>
        <a:ea typeface=""/>
        <a:cs typeface=""/>
      </a:minorFont>
    </a:fontScheme>
    <a:fmtScheme>
      <a:fillStyleLst>
        <a:solidFill>
          <a:schemeClr val="phClr"/>
        </a:solidFill>
        <a:gradFill>
          <a:gsLst>
            <a:gs pos="0">
              <a:schemeClr val="phClr"/>
            </a:gs>
            <a:gs pos="100000">
              <a:schemeClr val="phClr"/>
            </a:gs>
          </a:gsLst>
        </a:gradFill>
        <a:gradFill>
          <a:gsLst>
            <a:gs pos="0">
              <a:schemeClr val="phClr"/>
            </a:gs>
            <a:gs pos="100000">
              <a:schemeClr val="phClr"/>
            </a:gs>
          </a:gsLst>
        </a:gradFill>
      </a:fillStyleLst>
      <a:lnStyleLst>
        <a:ln w="12700" cap="flat" cmpd="sng" algn="ctr">
          <a:solidFill>
            <a:schemeClr val="phClr"/>
          </a:solidFill>
        </a:ln>
        <a:ln w="25400" cap="flat" cmpd="sng" algn="ctr">
          <a:solidFill>
            <a:schemeClr val="phClr"/>
          </a:solidFill>
        </a:ln>
        <a:ln w="38100" cap="flat" cmpd="sng" algn="ctr">
          <a:solidFill>
            <a:schemeClr val="phClr"/>
          </a:solidFill>
        </a:ln>
      </a:lnStyleLst>
      <a:effectStyleLst>
        <a:effectStyle>
          <a:effectLst>
            <a:outerShdw>
              <a:schemeClr val="dk1"/>
            </a:outerShdw>
          </a:effectLst>
        </a:effectStyle>
        <a:effectStyle>
          <a:effectLst>
            <a:outerShdw>
              <a:schemeClr val="dk1"/>
            </a:outerShdw>
          </a:effectLst>
        </a:effectStyle>
        <a:effectStyle>
          <a:effectLst>
            <a:outerShdw>
              <a:schemeClr val="dk1"/>
            </a:outerShdw>
          </a:effectLst>
        </a:effectStyle>
      </a:effectStyleLst>
      <a:bgFillStyleLst>
        <a:solidFill>
          <a:schemeClr val="phClr"/>
        </a:solidFill>
        <a:gradFill>
          <a:gsLst>
            <a:gs pos="0">
              <a:schemeClr val="phClr"/>
            </a:gs>
            <a:gs pos="100000">
              <a:schemeClr val="phClr"/>
            </a:gs>
          </a:gsLst>
        </a:gradFill>
        <a:gradFill>
          <a:gsLst>
            <a:gs pos="0">
              <a:schemeClr val="phClr"/>
            </a:gs>
            <a:gs pos="100000">
              <a:schemeClr val="phClr"/>
            </a:gs>
          </a:gsLs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file>

<file path=customXml/item2.xml><?xml version="1.0" encoding="utf-8"?>
<b:Sources xmlns:b="http://schemas.openxmlformats.org/officeDocument/2006/bibliography" xmlns:s="http://schemas.openxmlformats.org/officeDocument/2006/sharedTypes"/>
</file>

<file path=customXml/itemProps1.xml><?xml version="1.0" encoding="utf-8"?>
<ds:datastoreItem xmlns:ds="http://schemas.openxmlformats.org/officeDocument/2006/customXml" ds:itemID="{BFA18B32-E693-4EC6-A02C-24A320A0193D}">
  <ds:schemaRefs>
    <ds:schemaRef ds:uri="http://schemas.microsoft.com/office/2006/coverPageProps"/>
  </ds:schemaRefs>
</ds:datastoreItem>
</file>

<file path=customXml/itemProps2.xml><?xml version="1.0" encoding="utf-8"?>
<ds:datastoreItem xmlns:ds="http://schemas.openxmlformats.org/officeDocument/2006/customXml" ds:itemID="{5C595BEA-A2F0-4219-B95C-016908C36F9B}">
  <ds:schemaRefs>
    <ds:schemaRef ds:uri="http://schemas.openxmlformats.org/officeDocument/2006/bibliography"/>
    <ds:schemaRef ds:uri="http://schemas.openxmlformats.org/officeDocument/2006/sharedType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190</Words>
  <Characters>1085</Characters>
  <Application>Microsoft Office Word</Application>
  <DocSecurity>0</DocSecurity>
  <Lines>9</Lines>
  <Paragraphs>2</Paragraphs>
  <ScaleCrop>false</ScaleCrop>
  <HeadingPairs>
    <vt:vector size="2" baseType="variant">
      <vt:variant>
        <vt:lpstr>제목</vt:lpstr>
      </vt:variant>
      <vt:variant>
        <vt:i4>1</vt:i4>
      </vt:variant>
    </vt:vector>
  </HeadingPairs>
  <TitlesOfParts>
    <vt:vector size="1" baseType="lpstr">
      <vt:lpstr>Ⅰ</vt:lpstr>
    </vt:vector>
  </TitlesOfParts>
  <Company/>
  <LinksUpToDate>false</LinksUpToDate>
  <CharactersWithSpaces>1273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Ⅰ</dc:title>
  <dc:creator>COM</dc:creator>
  <cp:lastModifiedBy>최양호</cp:lastModifiedBy>
  <cp:revision>2</cp:revision>
  <dcterms:created xsi:type="dcterms:W3CDTF">2024-03-30T05:20:00Z</dcterms:created>
  <dcterms:modified xsi:type="dcterms:W3CDTF">2024-03-30T05:20:00Z</dcterms:modified>
</cp:coreProperties>
</file>