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9195" w14:textId="3DAECACE" w:rsidR="0081062E" w:rsidRPr="00860247" w:rsidRDefault="007D4690">
      <w:pPr>
        <w:pStyle w:val="Title"/>
      </w:pPr>
      <w:r>
        <w:t>Supply Chain Risk Review</w:t>
      </w:r>
    </w:p>
    <w:p w14:paraId="448ACEA9" w14:textId="651C9794" w:rsidR="0081062E" w:rsidRPr="00860247" w:rsidRDefault="00D36570">
      <w:pPr>
        <w:pStyle w:val="Subtitle"/>
      </w:pPr>
      <w:r>
        <w:t>Priority supplier risks, operational implications, and recommended actions</w:t>
      </w:r>
    </w:p>
    <w:p w14:paraId="1C270B07" w14:textId="0F31CE98" w:rsidR="0081062E" w:rsidRPr="006525D6" w:rsidRDefault="006525D6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Introduction</w:t>
      </w:r>
    </w:p>
    <w:p w14:paraId="4305EE96" w14:textId="77777777" w:rsidR="006525D6" w:rsidRDefault="006525D6">
      <w:r>
        <w:t>This report summarizes three priority supply chain issues identified through the current analysis. Each issue presents a potential risk to production continuity, operational performance, and regulatory readiness. The report outlines the core business problem, defines the actions needed to stabilize supply, and establishes a coordinated path forward.</w:t>
      </w:r>
    </w:p>
    <w:p w14:paraId="66BE5272" w14:textId="77777777" w:rsidR="006525D6" w:rsidRDefault="006525D6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Outline of the Business Problem</w:t>
      </w:r>
    </w:p>
    <w:p w14:paraId="7E513074" w14:textId="77777777" w:rsidR="00165E2A" w:rsidRDefault="00165E2A" w:rsidP="00165E2A">
      <w:pPr>
        <w:pStyle w:val="ListParagraph"/>
        <w:numPr>
          <w:ilvl w:val="0"/>
          <w:numId w:val="3"/>
        </w:numPr>
      </w:pPr>
      <w:proofErr w:type="spellStart"/>
      <w:r w:rsidRPr="00165E2A">
        <w:rPr>
          <w:b/>
          <w:bCs/>
        </w:rPr>
        <w:t>EcoSupply</w:t>
      </w:r>
      <w:proofErr w:type="spellEnd"/>
      <w:r w:rsidRPr="00165E2A">
        <w:rPr>
          <w:b/>
          <w:bCs/>
        </w:rPr>
        <w:t xml:space="preserve"> / BIND567 — recurring delivery delays and limited contingency coverage.</w:t>
      </w:r>
      <w:r>
        <w:t xml:space="preserve"> The confirmed delay is close to critical production deadlines, while supplier performance indicates recurring shipment delays. This creates risk of material shortages, schedule disruption, and compliance-related deviations.</w:t>
      </w:r>
    </w:p>
    <w:p w14:paraId="0BBCC48F" w14:textId="77777777" w:rsidR="00165E2A" w:rsidRDefault="00165E2A" w:rsidP="00165E2A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PrimeLogistics</w:t>
      </w:r>
      <w:proofErr w:type="spellEnd"/>
      <w:r>
        <w:rPr>
          <w:b/>
          <w:bCs/>
        </w:rPr>
        <w:t xml:space="preserve"> / COMP042 — significant lead-time variability.</w:t>
      </w:r>
      <w:r>
        <w:t xml:space="preserve"> The 13-day delivery timeline and continuing lead-time variance indicate forecasting and planning weaknesses. These conditions may require expedited shipping and create additional operational risk.</w:t>
      </w:r>
    </w:p>
    <w:p w14:paraId="63CD6382" w14:textId="77777777" w:rsidR="00165E2A" w:rsidRDefault="00165E2A" w:rsidP="00165E2A">
      <w:pPr>
        <w:pStyle w:val="ListParagraph"/>
        <w:numPr>
          <w:ilvl w:val="0"/>
          <w:numId w:val="3"/>
        </w:numPr>
      </w:pPr>
      <w:r>
        <w:rPr>
          <w:b/>
          <w:bCs/>
        </w:rPr>
        <w:t>NextGen Pharma / COMP043 — forecasting and inventory misalignment.</w:t>
      </w:r>
      <w:r>
        <w:t xml:space="preserve"> Inaccurate forecasting, inventory-management gaps, and supplier communication issues could disrupt production and increase quality and compliance risk.</w:t>
      </w:r>
    </w:p>
    <w:p w14:paraId="2552950F" w14:textId="6AB71F4A" w:rsidR="0081062E" w:rsidRPr="002B7510" w:rsidRDefault="002B7510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Action Items</w:t>
      </w:r>
    </w:p>
    <w:p w14:paraId="0BD1511A" w14:textId="77777777" w:rsidR="00AB3047" w:rsidRDefault="00AB3047" w:rsidP="00AB3047">
      <w:pPr>
        <w:pStyle w:val="ListParagraph"/>
        <w:numPr>
          <w:ilvl w:val="0"/>
          <w:numId w:val="2"/>
        </w:numPr>
      </w:pPr>
      <w:r w:rsidRPr="00AB3047">
        <w:rPr>
          <w:b/>
          <w:bCs/>
        </w:rPr>
        <w:t>Initiate a cross-functional risk review.</w:t>
      </w:r>
      <w:r>
        <w:t xml:space="preserve"> Bring together Supply Chain, Quality, Regulatory, Manufacturing, and Procurement to confirm the impact, escalation thresholds, and accountable owner for each component.</w:t>
      </w:r>
    </w:p>
    <w:p w14:paraId="78211222" w14:textId="77777777" w:rsidR="00AB3047" w:rsidRDefault="00AB3047" w:rsidP="00AB3047">
      <w:pPr>
        <w:pStyle w:val="ListParagraph"/>
        <w:numPr>
          <w:ilvl w:val="0"/>
          <w:numId w:val="2"/>
        </w:numPr>
      </w:pPr>
      <w:r>
        <w:rPr>
          <w:b/>
          <w:bCs/>
        </w:rPr>
        <w:t>Stabilize the supply of BIND567.</w:t>
      </w:r>
      <w:r>
        <w:t xml:space="preserve"> Expedite delivery with </w:t>
      </w:r>
      <w:proofErr w:type="spellStart"/>
      <w:r>
        <w:t>EcoSupply</w:t>
      </w:r>
      <w:proofErr w:type="spellEnd"/>
      <w:r>
        <w:t xml:space="preserve"> where feasible and establish an appropriate inventory buffer and contingency plan for future deliveries.</w:t>
      </w:r>
    </w:p>
    <w:p w14:paraId="27C18B54" w14:textId="77777777" w:rsidR="00AB3047" w:rsidRDefault="00AB3047" w:rsidP="00AB3047">
      <w:pPr>
        <w:pStyle w:val="ListParagraph"/>
        <w:numPr>
          <w:ilvl w:val="0"/>
          <w:numId w:val="2"/>
        </w:numPr>
      </w:pPr>
      <w:r>
        <w:rPr>
          <w:b/>
          <w:bCs/>
        </w:rPr>
        <w:t>Launch supplier recovery plans.</w:t>
      </w:r>
      <w:r>
        <w:t xml:space="preserve"> Work with </w:t>
      </w:r>
      <w:proofErr w:type="spellStart"/>
      <w:r>
        <w:t>PrimeLogistics</w:t>
      </w:r>
      <w:proofErr w:type="spellEnd"/>
      <w:r>
        <w:t xml:space="preserve"> and NextGen Pharma to improve demand planning, forecast accuracy, delivery commitments, and escalation discipline.</w:t>
      </w:r>
    </w:p>
    <w:p w14:paraId="470ADB6C" w14:textId="77777777" w:rsidR="00AB3047" w:rsidRDefault="00AB3047" w:rsidP="00AB304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Strengthen near-term monitoring.</w:t>
      </w:r>
      <w:r>
        <w:t xml:space="preserve"> Track </w:t>
      </w:r>
      <w:proofErr w:type="gramStart"/>
      <w:r>
        <w:t>supplier</w:t>
      </w:r>
      <w:proofErr w:type="gramEnd"/>
      <w:r>
        <w:t xml:space="preserve"> commit dates against need-by dates, lead-time variance, on-time delivery, defect trends, and inventory coverage. Establish an early-warning escalation process for emerging risks.</w:t>
      </w:r>
    </w:p>
    <w:p w14:paraId="0690AA23" w14:textId="77777777" w:rsidR="00AB3047" w:rsidRDefault="00AB3047" w:rsidP="00AB3047">
      <w:pPr>
        <w:pStyle w:val="ListParagraph"/>
        <w:numPr>
          <w:ilvl w:val="0"/>
          <w:numId w:val="2"/>
        </w:numPr>
      </w:pPr>
      <w:r>
        <w:rPr>
          <w:b/>
          <w:bCs/>
        </w:rPr>
        <w:t>Complete quality and compliance assessments.</w:t>
      </w:r>
      <w:r>
        <w:t xml:space="preserve"> Document the impact of the affected components and route any required investigations, CAPA, change controls, or supply-contingency actions through the appropriate governance processes.</w:t>
      </w:r>
    </w:p>
    <w:p w14:paraId="76DBA367" w14:textId="77777777" w:rsidR="00AB3047" w:rsidRDefault="00AB3047" w:rsidP="00AB3047">
      <w:pPr>
        <w:pStyle w:val="ListParagraph"/>
        <w:numPr>
          <w:ilvl w:val="0"/>
          <w:numId w:val="2"/>
        </w:numPr>
      </w:pPr>
      <w:r>
        <w:rPr>
          <w:b/>
          <w:bCs/>
        </w:rPr>
        <w:t>Establish a recurring review cadence.</w:t>
      </w:r>
      <w:r>
        <w:t xml:space="preserve"> Maintain regular status reviews until supply, production, and compliance risks are demonstrably stabilized.</w:t>
      </w:r>
    </w:p>
    <w:p w14:paraId="307E0B4A" w14:textId="0CAC84B0" w:rsidR="0081062E" w:rsidRPr="00531BF4" w:rsidRDefault="00531BF4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Conclusion</w:t>
      </w:r>
    </w:p>
    <w:p w14:paraId="228A1A54" w14:textId="785CD14D" w:rsidR="0081062E" w:rsidRDefault="007063E4">
      <w:r>
        <w:t>The identified supplier issues require coordinated and timely action. Addressing delivery reliability, planning accuracy, inventory coverage, and compliance impacts will reduce near-term disruption and strengthen ongoing supply resilience. The recommended actions should remain priority items, with clear ownership and regular leadership visibility, until the risks are stabilized.</w:t>
      </w:r>
    </w:p>
    <w:sectPr w:rsidR="00810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7BAB"/>
    <w:multiLevelType w:val="multilevel"/>
    <w:tmpl w:val="4FA0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B7DC7"/>
    <w:multiLevelType w:val="multilevel"/>
    <w:tmpl w:val="3A8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A4B60"/>
    <w:multiLevelType w:val="multilevel"/>
    <w:tmpl w:val="E326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2720B"/>
    <w:multiLevelType w:val="multilevel"/>
    <w:tmpl w:val="E5B6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205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8765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9911610">
    <w:abstractNumId w:val="1"/>
  </w:num>
  <w:num w:numId="4" w16cid:durableId="1355575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47"/>
    <w:rsid w:val="00165E2A"/>
    <w:rsid w:val="0020587C"/>
    <w:rsid w:val="002B7510"/>
    <w:rsid w:val="00345A0D"/>
    <w:rsid w:val="003A5AAF"/>
    <w:rsid w:val="00531BF4"/>
    <w:rsid w:val="006525D6"/>
    <w:rsid w:val="007063E4"/>
    <w:rsid w:val="007D4690"/>
    <w:rsid w:val="0081062E"/>
    <w:rsid w:val="00860247"/>
    <w:rsid w:val="008C6059"/>
    <w:rsid w:val="00A93110"/>
    <w:rsid w:val="00AB3047"/>
    <w:rsid w:val="00C31B1D"/>
    <w:rsid w:val="00D3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5C66A"/>
  <w15:chartTrackingRefBased/>
  <w15:docId w15:val="{52A7C58F-12B1-4AA6-901D-6D28FA1E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47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C605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60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C6059"/>
    <w:rPr>
      <w:i/>
      <w:iCs/>
    </w:rPr>
  </w:style>
  <w:style w:type="paragraph" w:styleId="NoSpacing">
    <w:name w:val="No Spacing"/>
    <w:uiPriority w:val="1"/>
    <w:qFormat/>
    <w:rsid w:val="008C605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C605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C605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C605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605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31B1D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356</Words>
  <Characters>2505</Characters>
  <Application>Microsoft Office Word</Application>
  <DocSecurity>0</DocSecurity>
  <Lines>44</Lines>
  <Paragraphs>17</Paragraphs>
  <ScaleCrop>false</ScaleCrop>
  <Company>JNJ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Savasta, Shannon [DPYUS]</dc:creator>
  <cp:keywords/>
  <dc:description/>
  <cp:lastModifiedBy>Savasta, Shannon [DPYUS]</cp:lastModifiedBy>
  <cp:revision>6</cp:revision>
  <dcterms:created xsi:type="dcterms:W3CDTF">2026-10-16T23:02:00Z</dcterms:created>
  <dcterms:modified xsi:type="dcterms:W3CDTF">2026-10-17T00:47:00Z</dcterms:modified>
</cp:coreProperties>
</file>