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65B" w:rsidRPr="00D3165B" w:rsidRDefault="00D3165B" w:rsidP="00C6373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Supplemental File SEE</w:t>
      </w:r>
    </w:p>
    <w:p w:rsidR="00053FE7" w:rsidRDefault="00053FE7" w:rsidP="00C637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give additional detail related to the results of the applications of </w:t>
      </w:r>
      <w:proofErr w:type="spellStart"/>
      <w:r>
        <w:rPr>
          <w:rFonts w:ascii="Times New Roman" w:hAnsi="Times New Roman" w:cs="Times New Roman"/>
          <w:sz w:val="24"/>
          <w:szCs w:val="24"/>
        </w:rPr>
        <w:t>BLASTp</w:t>
      </w:r>
      <w:proofErr w:type="spellEnd"/>
      <w:r>
        <w:rPr>
          <w:rFonts w:ascii="Times New Roman" w:hAnsi="Times New Roman" w:cs="Times New Roman"/>
          <w:sz w:val="24"/>
          <w:szCs w:val="24"/>
        </w:rPr>
        <w:t xml:space="preserve"> and OptFill in the </w:t>
      </w:r>
      <w:r w:rsidR="00B113D5">
        <w:rPr>
          <w:rFonts w:ascii="Times New Roman" w:hAnsi="Times New Roman" w:cs="Times New Roman"/>
          <w:sz w:val="24"/>
          <w:szCs w:val="24"/>
        </w:rPr>
        <w:t xml:space="preserve">construction of the </w:t>
      </w:r>
      <w:r w:rsidR="00B113D5" w:rsidRPr="00B113D5">
        <w:rPr>
          <w:rFonts w:ascii="Times New Roman" w:hAnsi="Times New Roman" w:cs="Times New Roman"/>
          <w:i/>
          <w:sz w:val="24"/>
          <w:szCs w:val="24"/>
        </w:rPr>
        <w:t>i</w:t>
      </w:r>
      <w:r w:rsidR="00B113D5">
        <w:rPr>
          <w:rFonts w:ascii="Times New Roman" w:hAnsi="Times New Roman" w:cs="Times New Roman"/>
          <w:sz w:val="24"/>
          <w:szCs w:val="24"/>
        </w:rPr>
        <w:t xml:space="preserve">Ede2091 model. These sections are a bit nuanced and repetitive and therefore where moved to this supplemental file. </w:t>
      </w:r>
    </w:p>
    <w:p w:rsidR="00B113D5" w:rsidRPr="00053FE7" w:rsidRDefault="00B113D5" w:rsidP="00C63735">
      <w:pPr>
        <w:spacing w:after="0" w:line="240" w:lineRule="auto"/>
        <w:jc w:val="both"/>
        <w:rPr>
          <w:rFonts w:ascii="Times New Roman" w:hAnsi="Times New Roman" w:cs="Times New Roman"/>
          <w:sz w:val="24"/>
          <w:szCs w:val="24"/>
        </w:rPr>
      </w:pPr>
    </w:p>
    <w:p w:rsidR="00C63735" w:rsidRDefault="00C63735" w:rsidP="00C63735">
      <w:pPr>
        <w:spacing w:after="0" w:line="240" w:lineRule="auto"/>
        <w:jc w:val="both"/>
        <w:rPr>
          <w:rFonts w:ascii="Times New Roman" w:hAnsi="Times New Roman" w:cs="Times New Roman"/>
          <w:bCs/>
          <w:iCs/>
          <w:sz w:val="24"/>
          <w:szCs w:val="24"/>
        </w:rPr>
      </w:pPr>
      <w:r w:rsidRPr="00453692">
        <w:rPr>
          <w:rFonts w:ascii="Times New Roman" w:hAnsi="Times New Roman" w:cs="Times New Roman"/>
          <w:b/>
          <w:i/>
          <w:sz w:val="24"/>
          <w:szCs w:val="24"/>
        </w:rPr>
        <w:t xml:space="preserve">Bidirectional </w:t>
      </w:r>
      <w:proofErr w:type="spellStart"/>
      <w:r w:rsidRPr="003E74B0">
        <w:rPr>
          <w:rFonts w:ascii="Times New Roman" w:hAnsi="Times New Roman" w:cs="Times New Roman"/>
          <w:b/>
          <w:i/>
          <w:sz w:val="24"/>
          <w:szCs w:val="24"/>
        </w:rPr>
        <w:t>BLASTp</w:t>
      </w:r>
      <w:proofErr w:type="spellEnd"/>
      <w:r w:rsidRPr="003E74B0">
        <w:rPr>
          <w:rFonts w:ascii="Times New Roman" w:hAnsi="Times New Roman" w:cs="Times New Roman"/>
          <w:b/>
          <w:i/>
          <w:sz w:val="24"/>
          <w:szCs w:val="24"/>
        </w:rPr>
        <w:t xml:space="preserve"> </w:t>
      </w:r>
      <w:r>
        <w:rPr>
          <w:rFonts w:ascii="Times New Roman" w:hAnsi="Times New Roman" w:cs="Times New Roman"/>
          <w:b/>
          <w:i/>
          <w:sz w:val="24"/>
          <w:szCs w:val="24"/>
        </w:rPr>
        <w:t>to investigate OptFill solution viability</w:t>
      </w:r>
      <w:r>
        <w:rPr>
          <w:rFonts w:ascii="Times New Roman" w:hAnsi="Times New Roman" w:cs="Times New Roman"/>
          <w:bCs/>
          <w:iCs/>
          <w:sz w:val="24"/>
          <w:szCs w:val="24"/>
        </w:rPr>
        <w:t xml:space="preserve">. For each OptFill solution incorporated into the draft models, a bidirectional </w:t>
      </w:r>
      <w:proofErr w:type="spellStart"/>
      <w:r>
        <w:rPr>
          <w:rFonts w:ascii="Times New Roman" w:hAnsi="Times New Roman" w:cs="Times New Roman"/>
          <w:bCs/>
          <w:iCs/>
          <w:sz w:val="24"/>
          <w:szCs w:val="24"/>
        </w:rPr>
        <w:t>BLASTp</w:t>
      </w:r>
      <w:proofErr w:type="spellEnd"/>
      <w:r>
        <w:rPr>
          <w:rFonts w:ascii="Times New Roman" w:hAnsi="Times New Roman" w:cs="Times New Roman"/>
          <w:bCs/>
          <w:iCs/>
          <w:sz w:val="24"/>
          <w:szCs w:val="24"/>
        </w:rPr>
        <w:t xml:space="preserve"> analysis was performed on enzymes linked to the reactions in each OptFill solution. For the first OptFill solution, containing reactions linked to enzymes common to three of four Aspergillus models, 20 enzymes were identified as linked to this set of reactions. Using the same bidirectional </w:t>
      </w:r>
      <w:proofErr w:type="spellStart"/>
      <w:r>
        <w:rPr>
          <w:rFonts w:ascii="Times New Roman" w:hAnsi="Times New Roman" w:cs="Times New Roman"/>
          <w:bCs/>
          <w:iCs/>
          <w:sz w:val="24"/>
          <w:szCs w:val="24"/>
        </w:rPr>
        <w:t>BLASTp</w:t>
      </w:r>
      <w:proofErr w:type="spellEnd"/>
      <w:r>
        <w:rPr>
          <w:rFonts w:ascii="Times New Roman" w:hAnsi="Times New Roman" w:cs="Times New Roman"/>
          <w:bCs/>
          <w:iCs/>
          <w:sz w:val="24"/>
          <w:szCs w:val="24"/>
        </w:rPr>
        <w:t xml:space="preserve"> procedure as previously described, 11 of these enzymes were identified in the </w:t>
      </w:r>
      <w:r w:rsidRPr="00A749D2">
        <w:rPr>
          <w:rFonts w:ascii="Times New Roman" w:hAnsi="Times New Roman" w:cs="Times New Roman"/>
          <w:bCs/>
          <w:i/>
          <w:iCs/>
          <w:sz w:val="24"/>
          <w:szCs w:val="24"/>
        </w:rPr>
        <w:t>E. dermatitidis</w:t>
      </w:r>
      <w:r>
        <w:rPr>
          <w:rFonts w:ascii="Times New Roman" w:hAnsi="Times New Roman" w:cs="Times New Roman"/>
          <w:bCs/>
          <w:iCs/>
          <w:sz w:val="24"/>
          <w:szCs w:val="24"/>
        </w:rPr>
        <w:t xml:space="preserve"> genome, being matched to 21 genes. These genes were all annotated in the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genome; therefore these enzymes may not have been identified by the BRENDA search of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enzyme annotations due to sensitivity of the algorithm used for this search. These matches give a genetic basis for the inclusion of 11 of these reactions, in addition to the evidence that all these enzymes are supported in phylogenetically related organisms. </w:t>
      </w:r>
    </w:p>
    <w:p w:rsidR="00C63735" w:rsidRDefault="00C63735" w:rsidP="00C63735">
      <w:pPr>
        <w:spacing w:after="0" w:line="240" w:lineRule="auto"/>
        <w:jc w:val="both"/>
        <w:rPr>
          <w:rFonts w:ascii="Times New Roman" w:hAnsi="Times New Roman" w:cs="Times New Roman"/>
          <w:bCs/>
          <w:iCs/>
          <w:sz w:val="24"/>
          <w:szCs w:val="24"/>
        </w:rPr>
      </w:pPr>
    </w:p>
    <w:p w:rsidR="00C63735" w:rsidRDefault="00C63735" w:rsidP="00C63735">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For the second OptFill solution, containing 3 reactions, 3 enzymes were identified as linked to the set of reactions in the solution, and two of these enzymes where identified in the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genome. These two enzymes were linked to two genes. These genes were all annotated in the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genome; therefore these enzymes may not have been identified by the BRENDA search of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enzyme annotations due to sensitivity of the algorithm used for this search to the annotated string. These matches give a genetic basis for the inclusion of 2 of these reactions, in addition to the evidence that all these enzymes are supported in phylogenetically related organisms.  </w:t>
      </w:r>
    </w:p>
    <w:p w:rsidR="00C63735" w:rsidRDefault="00C63735" w:rsidP="00C63735">
      <w:pPr>
        <w:spacing w:after="0" w:line="240" w:lineRule="auto"/>
        <w:jc w:val="both"/>
        <w:rPr>
          <w:rFonts w:ascii="Times New Roman" w:hAnsi="Times New Roman" w:cs="Times New Roman"/>
          <w:bCs/>
          <w:iCs/>
          <w:sz w:val="24"/>
          <w:szCs w:val="24"/>
        </w:rPr>
      </w:pPr>
    </w:p>
    <w:p w:rsidR="00170D82" w:rsidRDefault="00C63735" w:rsidP="00C63735">
      <w:pPr>
        <w:rPr>
          <w:rFonts w:ascii="Times New Roman" w:hAnsi="Times New Roman" w:cs="Times New Roman"/>
          <w:bCs/>
          <w:iCs/>
          <w:sz w:val="24"/>
          <w:szCs w:val="24"/>
        </w:rPr>
      </w:pPr>
      <w:r>
        <w:rPr>
          <w:rFonts w:ascii="Times New Roman" w:hAnsi="Times New Roman" w:cs="Times New Roman"/>
          <w:bCs/>
          <w:iCs/>
          <w:sz w:val="24"/>
          <w:szCs w:val="24"/>
        </w:rPr>
        <w:t xml:space="preserve">For the third OptFill solution, containing 21 reactions, 17 enzymes were identified as linked to the set of reactions in the solution, and 8 of these enzymes where identified in the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genome. These 8 enzymes were linked to 18 genes. These genes were all annotated in the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genome; therefore these enzymes may not have been identified by the BRENDA search of </w:t>
      </w:r>
      <w:r w:rsidRPr="00CC33D4">
        <w:rPr>
          <w:rFonts w:ascii="Times New Roman" w:hAnsi="Times New Roman" w:cs="Times New Roman"/>
          <w:bCs/>
          <w:i/>
          <w:iCs/>
          <w:sz w:val="24"/>
          <w:szCs w:val="24"/>
        </w:rPr>
        <w:t>E. dermatitidis</w:t>
      </w:r>
      <w:r>
        <w:rPr>
          <w:rFonts w:ascii="Times New Roman" w:hAnsi="Times New Roman" w:cs="Times New Roman"/>
          <w:bCs/>
          <w:iCs/>
          <w:sz w:val="24"/>
          <w:szCs w:val="24"/>
        </w:rPr>
        <w:t xml:space="preserve"> enzyme annotations due to sensitivity of the algorithm used for this search to the annotated string. These matches give a genetic basis for the inclusion of 13 of these reactions, in addition to the evidence that all these enzymes are supported in phylogenetically related organisms. </w:t>
      </w:r>
    </w:p>
    <w:p w:rsidR="00170D82" w:rsidRDefault="00170D82" w:rsidP="00170D82">
      <w:pPr>
        <w:spacing w:after="0" w:line="240" w:lineRule="auto"/>
        <w:contextualSpacing/>
        <w:jc w:val="both"/>
        <w:rPr>
          <w:rFonts w:ascii="Times New Roman" w:hAnsi="Times New Roman" w:cs="Times New Roman"/>
          <w:sz w:val="24"/>
          <w:szCs w:val="24"/>
        </w:rPr>
      </w:pPr>
      <w:r w:rsidRPr="009435C3">
        <w:rPr>
          <w:rFonts w:ascii="Times New Roman" w:hAnsi="Times New Roman" w:cs="Times New Roman"/>
          <w:b/>
          <w:i/>
          <w:sz w:val="24"/>
          <w:szCs w:val="24"/>
        </w:rPr>
        <w:t>Second use of OptFill to address metabolic gaps.</w:t>
      </w:r>
      <w:r>
        <w:rPr>
          <w:rFonts w:ascii="Times New Roman" w:hAnsi="Times New Roman" w:cs="Times New Roman"/>
          <w:sz w:val="24"/>
          <w:szCs w:val="24"/>
        </w:rPr>
        <w:t xml:space="preserve"> To address the metabolic gaps in the third draft model, a tool developed by the authors, OptFill </w:t>
      </w:r>
      <w:r>
        <w:rPr>
          <w:rFonts w:ascii="Times New Roman" w:hAnsi="Times New Roman" w:cs="Times New Roman"/>
          <w:sz w:val="24"/>
          <w:szCs w:val="24"/>
        </w:rPr>
        <w:fldChar w:fldCharType="begin" w:fldLock="1"/>
      </w:r>
      <w:r w:rsidR="00CA5282">
        <w:rPr>
          <w:rFonts w:ascii="Times New Roman" w:hAnsi="Times New Roman" w:cs="Times New Roman"/>
          <w:sz w:val="24"/>
          <w:szCs w:val="24"/>
        </w:rPr>
        <w:instrText>ADDIN CSL_CITATION {"citationItems":[{"id":"ITEM-1","itemData":{"DOI":"10.1186/1471-2105-11-489","ISSN":"14712105","abstract":"BACKGROUND: Flux variability analysis is often used to determine robustness of metabolic models in various simulation conditions. However, its use has been somehow limited by the long computation time compared to other constraint-based modeling methods.\\n\\nRESULTS: We present an open source implementation of flux variability analysis called fastFVA. This efficient implementation makes large-scale flux variability analysis feasible and tractable allowing more complex biological questions regarding network flexibility and robustness to be addressed.\\n\\nCONCLUSIONS: Networks involving thousands of biochemical reactions can be analyzed within seconds, greatly expanding the utility of flux variability analysis in systems biology.","author":[{"dropping-particle":"","family":"Gudmundsson","given":"Steinn","non-dropping-particle":"","parse-names":false,"suffix":""},{"dropping-particle":"","family":"Thiele","given":"Ines","non-dropping-particle":"","parse-names":false,"suffix":""}],"container-title":"BMC Bioinformatics","id":"ITEM-1","issue":"2","issued":{"date-parts":[["2010"]]},"page":"2-4","title":"Computationally efficient flux variability analysis","type":"article-journal","volume":"11"},"uris":["http://www.mendeley.com/documents/?uuid=f5e8ea0f-dd63-49ce-9767-2c797fc11cfc"]}],"mendeley":{"formattedCitation":"(Gudmundsson &amp; Thiele, 2010)","plainTextFormattedCitation":"(Gudmundsson &amp; Thiele, 2010)","previouslyFormattedCitation":"(Gudmundsson &amp; Thiele, 2010)"},"properties":{"noteIndex":0},"schema":"https://github.com/citation-style-language/schema/raw/master/csl-citation.json"}</w:instrText>
      </w:r>
      <w:r>
        <w:rPr>
          <w:rFonts w:ascii="Times New Roman" w:hAnsi="Times New Roman" w:cs="Times New Roman"/>
          <w:sz w:val="24"/>
          <w:szCs w:val="24"/>
        </w:rPr>
        <w:fldChar w:fldCharType="separate"/>
      </w:r>
      <w:r w:rsidR="00B113D5" w:rsidRPr="00B113D5">
        <w:rPr>
          <w:rFonts w:ascii="Times New Roman" w:hAnsi="Times New Roman" w:cs="Times New Roman"/>
          <w:noProof/>
          <w:sz w:val="24"/>
          <w:szCs w:val="24"/>
        </w:rPr>
        <w:t>(Gudmundsson &amp; Thiele, 2010)</w:t>
      </w:r>
      <w:r>
        <w:rPr>
          <w:rFonts w:ascii="Times New Roman" w:hAnsi="Times New Roman" w:cs="Times New Roman"/>
          <w:sz w:val="24"/>
          <w:szCs w:val="24"/>
        </w:rPr>
        <w:fldChar w:fldCharType="end"/>
      </w:r>
      <w:r>
        <w:rPr>
          <w:rFonts w:ascii="Times New Roman" w:hAnsi="Times New Roman" w:cs="Times New Roman"/>
          <w:sz w:val="24"/>
          <w:szCs w:val="24"/>
        </w:rPr>
        <w:t xml:space="preserve">, was used  with a list of reactions derived from the list of enzymes common to two </w:t>
      </w:r>
      <w:r w:rsidRPr="00815E24">
        <w:rPr>
          <w:rFonts w:ascii="Times New Roman" w:hAnsi="Times New Roman" w:cs="Times New Roman"/>
          <w:i/>
          <w:sz w:val="24"/>
          <w:szCs w:val="24"/>
        </w:rPr>
        <w:t>Aspergillus</w:t>
      </w:r>
      <w:r>
        <w:rPr>
          <w:rFonts w:ascii="Times New Roman" w:hAnsi="Times New Roman" w:cs="Times New Roman"/>
          <w:sz w:val="24"/>
          <w:szCs w:val="24"/>
        </w:rPr>
        <w:t xml:space="preserve"> models. The database consisted of 88 reactions which were not already in the model. This database had 93 potential TICs with the model (largest size of 16 reactions) and a single connecting problem solution. This solution adds three reversible reactions to the model, which results in 632 metabolites being producible. Adding the CPs solution to the third draft model results in the fourth draft model consisting of 1610 reactions, of which 763 are capable of carrying flux (47.4%).</w:t>
      </w:r>
      <w:r w:rsidRPr="0057426D">
        <w:rPr>
          <w:rFonts w:ascii="Times New Roman" w:hAnsi="Times New Roman" w:cs="Times New Roman"/>
          <w:sz w:val="24"/>
          <w:szCs w:val="24"/>
        </w:rPr>
        <w:t xml:space="preserve"> </w:t>
      </w:r>
      <w:r>
        <w:rPr>
          <w:rFonts w:ascii="Times New Roman" w:hAnsi="Times New Roman" w:cs="Times New Roman"/>
          <w:sz w:val="24"/>
          <w:szCs w:val="24"/>
        </w:rPr>
        <w:t>The maximum rate of growth of this model was 0.0989 h</w:t>
      </w:r>
      <w:r w:rsidRPr="009435C3">
        <w:rPr>
          <w:rFonts w:ascii="Times New Roman" w:hAnsi="Times New Roman" w:cs="Times New Roman"/>
          <w:sz w:val="24"/>
          <w:szCs w:val="24"/>
          <w:vertAlign w:val="superscript"/>
        </w:rPr>
        <w:t>-1</w:t>
      </w:r>
      <w:r>
        <w:rPr>
          <w:rFonts w:ascii="Times New Roman" w:hAnsi="Times New Roman" w:cs="Times New Roman"/>
          <w:sz w:val="24"/>
          <w:szCs w:val="24"/>
        </w:rPr>
        <w:t xml:space="preserve"> by allowing for 10 mmol·gDW</w:t>
      </w:r>
      <w:r w:rsidRPr="009435C3">
        <w:rPr>
          <w:rFonts w:ascii="Times New Roman" w:hAnsi="Times New Roman" w:cs="Times New Roman"/>
          <w:sz w:val="24"/>
          <w:szCs w:val="24"/>
          <w:vertAlign w:val="superscript"/>
        </w:rPr>
        <w:t>-1</w:t>
      </w:r>
      <w:r>
        <w:rPr>
          <w:rFonts w:ascii="Times New Roman" w:hAnsi="Times New Roman" w:cs="Times New Roman"/>
          <w:sz w:val="24"/>
          <w:szCs w:val="24"/>
        </w:rPr>
        <w:t>·h</w:t>
      </w:r>
      <w:r w:rsidRPr="009435C3">
        <w:rPr>
          <w:rFonts w:ascii="Times New Roman" w:hAnsi="Times New Roman" w:cs="Times New Roman"/>
          <w:sz w:val="24"/>
          <w:szCs w:val="24"/>
          <w:vertAlign w:val="superscript"/>
        </w:rPr>
        <w:t>-1</w:t>
      </w:r>
      <w:r>
        <w:rPr>
          <w:rFonts w:ascii="Times New Roman" w:hAnsi="Times New Roman" w:cs="Times New Roman"/>
          <w:sz w:val="24"/>
          <w:szCs w:val="24"/>
        </w:rPr>
        <w:t xml:space="preserve"> uptake of ethanol, sucrose, glucose, acetate, nitrate, sulfate, and phosphate. In this growth condition, carbon is the limiting nutrient.</w:t>
      </w:r>
    </w:p>
    <w:p w:rsidR="00170D82" w:rsidRDefault="00170D82" w:rsidP="00170D82">
      <w:pPr>
        <w:spacing w:after="0" w:line="240" w:lineRule="auto"/>
        <w:contextualSpacing/>
        <w:jc w:val="both"/>
        <w:rPr>
          <w:rFonts w:ascii="Times New Roman" w:hAnsi="Times New Roman" w:cs="Times New Roman"/>
          <w:sz w:val="24"/>
          <w:szCs w:val="24"/>
        </w:rPr>
      </w:pPr>
    </w:p>
    <w:p w:rsidR="00170D82" w:rsidRDefault="00170D82" w:rsidP="00170D82">
      <w:pPr>
        <w:spacing w:after="0" w:line="240" w:lineRule="auto"/>
        <w:contextualSpacing/>
        <w:jc w:val="both"/>
        <w:rPr>
          <w:rFonts w:ascii="Times New Roman" w:hAnsi="Times New Roman" w:cs="Times New Roman"/>
          <w:sz w:val="24"/>
          <w:szCs w:val="24"/>
        </w:rPr>
      </w:pPr>
      <w:r>
        <w:rPr>
          <w:rFonts w:ascii="Times New Roman" w:hAnsi="Times New Roman" w:cs="Times New Roman"/>
          <w:b/>
          <w:i/>
          <w:sz w:val="24"/>
          <w:szCs w:val="24"/>
        </w:rPr>
        <w:t>Third</w:t>
      </w:r>
      <w:r w:rsidRPr="00A94F7D">
        <w:rPr>
          <w:rFonts w:ascii="Times New Roman" w:hAnsi="Times New Roman" w:cs="Times New Roman"/>
          <w:b/>
          <w:i/>
          <w:sz w:val="24"/>
          <w:szCs w:val="24"/>
        </w:rPr>
        <w:t xml:space="preserve"> use of OptFill to address metabolic gaps.</w:t>
      </w:r>
      <w:r>
        <w:rPr>
          <w:rFonts w:ascii="Times New Roman" w:hAnsi="Times New Roman" w:cs="Times New Roman"/>
          <w:sz w:val="24"/>
          <w:szCs w:val="24"/>
        </w:rPr>
        <w:t xml:space="preserve"> To address the metabolic gaps in the fourth draft model, a tool developed by the authors, OptFill </w:t>
      </w:r>
      <w:r>
        <w:rPr>
          <w:rFonts w:ascii="Times New Roman" w:hAnsi="Times New Roman" w:cs="Times New Roman"/>
          <w:sz w:val="24"/>
          <w:szCs w:val="24"/>
        </w:rPr>
        <w:fldChar w:fldCharType="begin" w:fldLock="1"/>
      </w:r>
      <w:r w:rsidR="00CA5282">
        <w:rPr>
          <w:rFonts w:ascii="Times New Roman" w:hAnsi="Times New Roman" w:cs="Times New Roman"/>
          <w:sz w:val="24"/>
          <w:szCs w:val="24"/>
        </w:rPr>
        <w:instrText>ADDIN CSL_CITATION {"citationItems":[{"id":"ITEM-1","itemData":{"DOI":"10.1186/1471-2105-11-489","ISSN":"14712105","abstract":"BACKGROUND: Flux variability analysis is often used to determine robustness of metabolic models in various simulation conditions. However, its use has been somehow limited by the long computation time compared to other constraint-based modeling methods.\\n\\nRESULTS: We present an open source implementation of flux variability analysis called fastFVA. This efficient implementation makes large-scale flux variability analysis feasible and tractable allowing more complex biological questions regarding network flexibility and robustness to be addressed.\\n\\nCONCLUSIONS: Networks involving thousands of biochemical reactions can be analyzed within seconds, greatly expanding the utility of flux variability analysis in systems biology.","author":[{"dropping-particle":"","family":"Gudmundsson","given":"Steinn","non-dropping-particle":"","parse-names":false,"suffix":""},{"dropping-particle":"","family":"Thiele","given":"Ines","non-dropping-particle":"","parse-names":false,"suffix":""}],"container-title":"BMC Bioinformatics","id":"ITEM-1","issue":"2","issued":{"date-parts":[["2010"]]},"page":"2-4","title":"Computationally efficient flux variability analysis","type":"article-journal","volume":"11"},"uris":["http://www.mendeley.com/documents/?uuid=f5e8ea0f-dd63-49ce-9767-2c797fc11cfc"]}],"mendeley":{"formattedCitation":"(Gudmundsson &amp; Thiele, 2010)","plainTextFormattedCitation":"(Gudmundsson &amp; Thiele, 2010)","previouslyFormattedCitation":"(Gudmundsson &amp; Thiele, 2010)"},"properties":{"noteIndex":0},"schema":"https://github.com/citation-style-language/schema/raw/master/csl-citation.json"}</w:instrText>
      </w:r>
      <w:r>
        <w:rPr>
          <w:rFonts w:ascii="Times New Roman" w:hAnsi="Times New Roman" w:cs="Times New Roman"/>
          <w:sz w:val="24"/>
          <w:szCs w:val="24"/>
        </w:rPr>
        <w:fldChar w:fldCharType="separate"/>
      </w:r>
      <w:r w:rsidR="00B113D5" w:rsidRPr="00B113D5">
        <w:rPr>
          <w:rFonts w:ascii="Times New Roman" w:hAnsi="Times New Roman" w:cs="Times New Roman"/>
          <w:noProof/>
          <w:sz w:val="24"/>
          <w:szCs w:val="24"/>
        </w:rPr>
        <w:t>(Gudmundsson &amp; Thiele, 2010)</w:t>
      </w:r>
      <w:r>
        <w:rPr>
          <w:rFonts w:ascii="Times New Roman" w:hAnsi="Times New Roman" w:cs="Times New Roman"/>
          <w:sz w:val="24"/>
          <w:szCs w:val="24"/>
        </w:rPr>
        <w:fldChar w:fldCharType="end"/>
      </w:r>
      <w:r>
        <w:rPr>
          <w:rFonts w:ascii="Times New Roman" w:hAnsi="Times New Roman" w:cs="Times New Roman"/>
          <w:sz w:val="24"/>
          <w:szCs w:val="24"/>
        </w:rPr>
        <w:t xml:space="preserve">, was used, with a list of reactions derived from the list of enzymes unique to one </w:t>
      </w:r>
      <w:r w:rsidRPr="00815E24">
        <w:rPr>
          <w:rFonts w:ascii="Times New Roman" w:hAnsi="Times New Roman" w:cs="Times New Roman"/>
          <w:i/>
          <w:sz w:val="24"/>
          <w:szCs w:val="24"/>
        </w:rPr>
        <w:t>Aspergillus</w:t>
      </w:r>
      <w:r>
        <w:rPr>
          <w:rFonts w:ascii="Times New Roman" w:hAnsi="Times New Roman" w:cs="Times New Roman"/>
          <w:sz w:val="24"/>
          <w:szCs w:val="24"/>
        </w:rPr>
        <w:t xml:space="preserve"> model. The original database contained 320 reactions after removing any reactions already present in the third draft model. One round of database pruning was necessary to achieve a reasonable OptFill solution time, which reduced the </w:t>
      </w: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to 293 reactions. The database had 596 potential TICs with the model (largest sized of 16) and had over 200 connecting problem solutions. The first solution returned was accepted, which added 20 reactions from the database to the model, 10 of which were added reversibly. This resulted in 654 metabolites being producible by the model. Adding the CPs solution to the fourth draft model resulted in the final model, </w:t>
      </w:r>
      <w:r w:rsidRPr="00047358">
        <w:rPr>
          <w:rFonts w:ascii="Times New Roman" w:hAnsi="Times New Roman" w:cs="Times New Roman"/>
          <w:i/>
          <w:sz w:val="24"/>
          <w:szCs w:val="24"/>
        </w:rPr>
        <w:t>i</w:t>
      </w:r>
      <w:r>
        <w:rPr>
          <w:rFonts w:ascii="Times New Roman" w:hAnsi="Times New Roman" w:cs="Times New Roman"/>
          <w:sz w:val="24"/>
          <w:szCs w:val="24"/>
        </w:rPr>
        <w:t>Ede2091, consisting of 1630 reactions, of which 793 are capable of carrying flux (48.7%). The maximum rate of growth of this model was 0.0989 h</w:t>
      </w:r>
      <w:r w:rsidRPr="009435C3">
        <w:rPr>
          <w:rFonts w:ascii="Times New Roman" w:hAnsi="Times New Roman" w:cs="Times New Roman"/>
          <w:sz w:val="24"/>
          <w:szCs w:val="24"/>
          <w:vertAlign w:val="superscript"/>
        </w:rPr>
        <w:t>-1</w:t>
      </w:r>
      <w:r>
        <w:rPr>
          <w:rFonts w:ascii="Times New Roman" w:hAnsi="Times New Roman" w:cs="Times New Roman"/>
          <w:sz w:val="24"/>
          <w:szCs w:val="24"/>
        </w:rPr>
        <w:t xml:space="preserve"> by allowing for 10 mmol·gDW</w:t>
      </w:r>
      <w:r w:rsidRPr="009435C3">
        <w:rPr>
          <w:rFonts w:ascii="Times New Roman" w:hAnsi="Times New Roman" w:cs="Times New Roman"/>
          <w:sz w:val="24"/>
          <w:szCs w:val="24"/>
          <w:vertAlign w:val="superscript"/>
        </w:rPr>
        <w:t>-1</w:t>
      </w:r>
      <w:r>
        <w:rPr>
          <w:rFonts w:ascii="Times New Roman" w:hAnsi="Times New Roman" w:cs="Times New Roman"/>
          <w:sz w:val="24"/>
          <w:szCs w:val="24"/>
        </w:rPr>
        <w:t>·h</w:t>
      </w:r>
      <w:r w:rsidRPr="009435C3">
        <w:rPr>
          <w:rFonts w:ascii="Times New Roman" w:hAnsi="Times New Roman" w:cs="Times New Roman"/>
          <w:sz w:val="24"/>
          <w:szCs w:val="24"/>
          <w:vertAlign w:val="superscript"/>
        </w:rPr>
        <w:t>-1</w:t>
      </w:r>
      <w:r>
        <w:rPr>
          <w:rFonts w:ascii="Times New Roman" w:hAnsi="Times New Roman" w:cs="Times New Roman"/>
          <w:sz w:val="24"/>
          <w:szCs w:val="24"/>
        </w:rPr>
        <w:t xml:space="preserve"> uptake of ethanol, sucrose, glucose, acetate, nitrate, sulfate, and phosphate. In this growth condition, carbon is the limiting nutrient. It should be noted that, on a minimal media where sucrose is provided as the primary carbon source, that is at a concentration two orders of magnitude higher than any other potential carbon source, the growth rate of </w:t>
      </w:r>
      <w:r w:rsidRPr="00CF2CE7">
        <w:rPr>
          <w:rFonts w:ascii="Times New Roman" w:hAnsi="Times New Roman" w:cs="Times New Roman"/>
          <w:i/>
          <w:sz w:val="24"/>
          <w:szCs w:val="24"/>
        </w:rPr>
        <w:t>E. dermatitidis</w:t>
      </w:r>
      <w:r>
        <w:rPr>
          <w:rFonts w:ascii="Times New Roman" w:hAnsi="Times New Roman" w:cs="Times New Roman"/>
          <w:sz w:val="24"/>
          <w:szCs w:val="24"/>
        </w:rPr>
        <w:t xml:space="preserve"> is approximately 0.105 h</w:t>
      </w:r>
      <w:r w:rsidRPr="00CF2CE7">
        <w:rPr>
          <w:rFonts w:ascii="Times New Roman" w:hAnsi="Times New Roman" w:cs="Times New Roman"/>
          <w:sz w:val="24"/>
          <w:szCs w:val="24"/>
          <w:vertAlign w:val="superscript"/>
        </w:rPr>
        <w:t>-1</w:t>
      </w:r>
      <w:r w:rsidRPr="00CF2CE7">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A5282">
        <w:rPr>
          <w:rFonts w:ascii="Times New Roman" w:hAnsi="Times New Roman" w:cs="Times New Roman"/>
          <w:sz w:val="24"/>
          <w:szCs w:val="24"/>
        </w:rPr>
        <w:instrText>ADDIN CSL_CITATION {"citationItems":[{"id":"ITEM-1","itemData":{"DOI":"10.1371/journal.pone.0000457","ISBN":"1932-6203","ISSN":"19326203","PMID":"17520016","abstract":"BACKGROUND: Melanin pigments are ubiquitous in nature. Melanized microorganisms are often the dominating species in certain extreme environments, such as soils contaminated with radionuclides, suggesting that the presence of melanin is beneficial in their life cycle. We hypothesized that ionizing radiation could change the electronic properties of melanin and might enhance the growth of melanized microorganisms.\\n\\nMETHODOLOGY/PRINCIPAL FINDINGS: Ionizing irradiation changed the electron spin resonance (ESR) signal of melanin, consistent with changes in electronic structure. Irradiated melanin manifested a 4-fold increase in its capacity to reduce NADH relative to non-irradiated melanin. HPLC analysis of melanin from fungi grown on different substrates revealed chemical complexity, dependence of melanin composition on the growth substrate and possible influence of melanin composition on its interaction with ionizing radiation. XTT/MTT assays showed increased metabolic activity of melanized C. neoformans cells relative to non-melanized cells, and exposure to ionizing radiation enhanced the electron-transfer properties of melanin in melanized cells. Melanized Wangiella dermatitidis and Cryptococcus neoformans cells exposed to ionizing radiation approximately 500 times higher than background grew significantly faster as indicated by higher CFUs, more dry weight biomass and 3-fold greater incorporation of (14)C-acetate than non-irradiated melanized cells or irradiated albino mutants. In addition, radiation enhanced the growth of melanized Cladosporium sphaerospermum cells under limited nutrients conditions.\\n\\nCONCLUSIONS/SIGNIFICANCE: Exposure of melanin to ionizing radiation, and possibly other forms of electromagnetic radiation, changes its electronic properties. Melanized fungal cells manifested increased growth relative to non-melanized cells after exposure to ionizing radiation, raising intriguing questions about a potential role for melanin in energy capture and utilization.","author":[{"dropping-particle":"","family":"Dadachova","given":"Ekaterina","non-dropping-particle":"","parse-names":false,"suffix":""},{"dropping-particle":"","family":"Bryan","given":"Ruth A.","non-dropping-particle":"","parse-names":false,"suffix":""},{"dropping-particle":"","family":"Huang","given":"Xianchun","non-dropping-particle":"","parse-names":false,"suffix":""},{"dropping-particle":"","family":"Moadel","given":"Tiffany","non-dropping-particle":"","parse-names":false,"suffix":""},{"dropping-particle":"","family":"Schweitzer","given":"Andrew D.","non-dropping-particle":"","parse-names":false,"suffix":""},{"dropping-particle":"","family":"Aisen","given":"Philip","non-dropping-particle":"","parse-names":false,"suffix":""},{"dropping-particle":"","family":"Nosanchuk","given":"Joshua D.","non-dropping-particle":"","parse-names":false,"suffix":""},{"dropping-particle":"","family":"Casadevall","given":"Arturo","non-dropping-particle":"","parse-names":false,"suffix":""}],"container-title":"PLoS ONE","id":"ITEM-1","issue":"5","issued":{"date-parts":[["2007"]]},"title":"Ionizing radiation changes the electronic properties of melanin and enhances the growth of melanized fungi","type":"article-journal","volume":"2"},"uris":["http://www.mendeley.com/documents/?uuid=96aa72d0-ff1a-478c-8c50-f19f4c80ac14"]}],"mendeley":{"formattedCitation":"(Dadachova et al., 2007)","plainTextFormattedCitation":"(Dadachova et al., 2007)","previouslyFormattedCitation":"(Dadachova et al., 2007)"},"properties":{"noteIndex":0},"schema":"https://github.com/citation-style-language/schema/raw/master/csl-citation.json"}</w:instrText>
      </w:r>
      <w:r>
        <w:rPr>
          <w:rFonts w:ascii="Times New Roman" w:hAnsi="Times New Roman" w:cs="Times New Roman"/>
          <w:sz w:val="24"/>
          <w:szCs w:val="24"/>
        </w:rPr>
        <w:fldChar w:fldCharType="separate"/>
      </w:r>
      <w:r w:rsidR="00B113D5" w:rsidRPr="00B113D5">
        <w:rPr>
          <w:rFonts w:ascii="Times New Roman" w:hAnsi="Times New Roman" w:cs="Times New Roman"/>
          <w:noProof/>
          <w:sz w:val="24"/>
          <w:szCs w:val="24"/>
        </w:rPr>
        <w:t>(Dadachova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however, since no rate measures were taken in the indicated study, it is difficult to interpret the accuracy of the modeled growth rate of </w:t>
      </w:r>
      <w:r w:rsidRPr="00047358">
        <w:rPr>
          <w:rFonts w:ascii="Times New Roman" w:hAnsi="Times New Roman" w:cs="Times New Roman"/>
          <w:i/>
          <w:sz w:val="24"/>
          <w:szCs w:val="24"/>
        </w:rPr>
        <w:t>i</w:t>
      </w:r>
      <w:r>
        <w:rPr>
          <w:rFonts w:ascii="Times New Roman" w:hAnsi="Times New Roman" w:cs="Times New Roman"/>
          <w:sz w:val="24"/>
          <w:szCs w:val="24"/>
        </w:rPr>
        <w:t>Ede2091.</w:t>
      </w:r>
    </w:p>
    <w:p w:rsidR="00053FE7" w:rsidRDefault="00053FE7" w:rsidP="00170D82">
      <w:pPr>
        <w:spacing w:after="0" w:line="240" w:lineRule="auto"/>
        <w:contextualSpacing/>
        <w:jc w:val="both"/>
        <w:rPr>
          <w:rFonts w:ascii="Times New Roman" w:hAnsi="Times New Roman" w:cs="Times New Roman"/>
          <w:sz w:val="24"/>
          <w:szCs w:val="24"/>
        </w:rPr>
      </w:pPr>
    </w:p>
    <w:p w:rsidR="00053FE7" w:rsidRDefault="00053FE7" w:rsidP="00170D82">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rsidR="00053FE7" w:rsidRDefault="00053FE7" w:rsidP="00170D82">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References used here also included in the main work. </w:t>
      </w:r>
    </w:p>
    <w:p w:rsidR="00CA5282" w:rsidRPr="00CA5282" w:rsidRDefault="00053FE7" w:rsidP="00CA5282">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A5282" w:rsidRPr="00CA5282">
        <w:rPr>
          <w:rFonts w:ascii="Times New Roman" w:hAnsi="Times New Roman" w:cs="Times New Roman"/>
          <w:noProof/>
          <w:sz w:val="24"/>
          <w:szCs w:val="24"/>
        </w:rPr>
        <w:t xml:space="preserve">Dadachova, E., Bryan, R. A., Huang, X., Moadel, T., Schweitzer, A. D., Aisen, P., … Casadevall, A. (2007). Ionizing radiation changes the electronic properties of melanin and enhances the growth of melanized fungi. </w:t>
      </w:r>
      <w:r w:rsidR="00CA5282" w:rsidRPr="00CA5282">
        <w:rPr>
          <w:rFonts w:ascii="Times New Roman" w:hAnsi="Times New Roman" w:cs="Times New Roman"/>
          <w:i/>
          <w:iCs/>
          <w:noProof/>
          <w:sz w:val="24"/>
          <w:szCs w:val="24"/>
        </w:rPr>
        <w:t>PLoS ONE</w:t>
      </w:r>
      <w:r w:rsidR="00CA5282" w:rsidRPr="00CA5282">
        <w:rPr>
          <w:rFonts w:ascii="Times New Roman" w:hAnsi="Times New Roman" w:cs="Times New Roman"/>
          <w:noProof/>
          <w:sz w:val="24"/>
          <w:szCs w:val="24"/>
        </w:rPr>
        <w:t xml:space="preserve">, </w:t>
      </w:r>
      <w:r w:rsidR="00CA5282" w:rsidRPr="00CA5282">
        <w:rPr>
          <w:rFonts w:ascii="Times New Roman" w:hAnsi="Times New Roman" w:cs="Times New Roman"/>
          <w:i/>
          <w:iCs/>
          <w:noProof/>
          <w:sz w:val="24"/>
          <w:szCs w:val="24"/>
        </w:rPr>
        <w:t>2</w:t>
      </w:r>
      <w:r w:rsidR="00CA5282" w:rsidRPr="00CA5282">
        <w:rPr>
          <w:rFonts w:ascii="Times New Roman" w:hAnsi="Times New Roman" w:cs="Times New Roman"/>
          <w:noProof/>
          <w:sz w:val="24"/>
          <w:szCs w:val="24"/>
        </w:rPr>
        <w:t>(5). https://doi.org/10.1371/journal.pone.0000457</w:t>
      </w:r>
    </w:p>
    <w:p w:rsidR="00CA5282" w:rsidRPr="00CA5282" w:rsidRDefault="00CA5282" w:rsidP="00CA5282">
      <w:pPr>
        <w:widowControl w:val="0"/>
        <w:autoSpaceDE w:val="0"/>
        <w:autoSpaceDN w:val="0"/>
        <w:adjustRightInd w:val="0"/>
        <w:spacing w:after="0" w:line="240" w:lineRule="auto"/>
        <w:ind w:left="480" w:hanging="480"/>
        <w:rPr>
          <w:rFonts w:ascii="Times New Roman" w:hAnsi="Times New Roman" w:cs="Times New Roman"/>
          <w:noProof/>
          <w:sz w:val="24"/>
        </w:rPr>
      </w:pPr>
      <w:r w:rsidRPr="00CA5282">
        <w:rPr>
          <w:rFonts w:ascii="Times New Roman" w:hAnsi="Times New Roman" w:cs="Times New Roman"/>
          <w:noProof/>
          <w:sz w:val="24"/>
          <w:szCs w:val="24"/>
        </w:rPr>
        <w:t xml:space="preserve">Gudmundsson, S., &amp; Thiele, I. (2010). Computationally efficient flux variability analysis. </w:t>
      </w:r>
      <w:r w:rsidRPr="00CA5282">
        <w:rPr>
          <w:rFonts w:ascii="Times New Roman" w:hAnsi="Times New Roman" w:cs="Times New Roman"/>
          <w:i/>
          <w:iCs/>
          <w:noProof/>
          <w:sz w:val="24"/>
          <w:szCs w:val="24"/>
        </w:rPr>
        <w:t>BMC Bioinformatics</w:t>
      </w:r>
      <w:r w:rsidRPr="00CA5282">
        <w:rPr>
          <w:rFonts w:ascii="Times New Roman" w:hAnsi="Times New Roman" w:cs="Times New Roman"/>
          <w:noProof/>
          <w:sz w:val="24"/>
          <w:szCs w:val="24"/>
        </w:rPr>
        <w:t xml:space="preserve">, </w:t>
      </w:r>
      <w:r w:rsidRPr="00CA5282">
        <w:rPr>
          <w:rFonts w:ascii="Times New Roman" w:hAnsi="Times New Roman" w:cs="Times New Roman"/>
          <w:i/>
          <w:iCs/>
          <w:noProof/>
          <w:sz w:val="24"/>
          <w:szCs w:val="24"/>
        </w:rPr>
        <w:t>11</w:t>
      </w:r>
      <w:r w:rsidRPr="00CA5282">
        <w:rPr>
          <w:rFonts w:ascii="Times New Roman" w:hAnsi="Times New Roman" w:cs="Times New Roman"/>
          <w:noProof/>
          <w:sz w:val="24"/>
          <w:szCs w:val="24"/>
        </w:rPr>
        <w:t>(2), 2–4. https://doi.org/10.1186/1471-2105-11-489</w:t>
      </w:r>
    </w:p>
    <w:p w:rsidR="00053FE7" w:rsidRDefault="00053FE7" w:rsidP="00170D82">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fldChar w:fldCharType="end"/>
      </w:r>
    </w:p>
    <w:sectPr w:rsidR="0005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65"/>
    <w:rsid w:val="00053FE7"/>
    <w:rsid w:val="00170D82"/>
    <w:rsid w:val="00212A07"/>
    <w:rsid w:val="00486BAD"/>
    <w:rsid w:val="00550C7B"/>
    <w:rsid w:val="006C600B"/>
    <w:rsid w:val="006D3F89"/>
    <w:rsid w:val="00A60A44"/>
    <w:rsid w:val="00B113D5"/>
    <w:rsid w:val="00B31F65"/>
    <w:rsid w:val="00C33B89"/>
    <w:rsid w:val="00C63735"/>
    <w:rsid w:val="00CA5282"/>
    <w:rsid w:val="00CF1607"/>
    <w:rsid w:val="00D3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369F"/>
  <w15:chartTrackingRefBased/>
  <w15:docId w15:val="{1FE3F818-94DA-4FE6-B1B2-C5C20D3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rsid w:val="00C63735"/>
    <w:rPr>
      <w:sz w:val="20"/>
      <w:szCs w:val="20"/>
    </w:rPr>
  </w:style>
  <w:style w:type="paragraph" w:styleId="CommentText">
    <w:name w:val="annotation text"/>
    <w:basedOn w:val="Normal"/>
    <w:link w:val="CommentTextChar"/>
    <w:uiPriority w:val="99"/>
    <w:unhideWhenUsed/>
    <w:rsid w:val="00C63735"/>
    <w:pPr>
      <w:spacing w:line="240" w:lineRule="auto"/>
    </w:pPr>
    <w:rPr>
      <w:sz w:val="20"/>
      <w:szCs w:val="20"/>
    </w:rPr>
  </w:style>
  <w:style w:type="character" w:customStyle="1" w:styleId="CommentTextChar1">
    <w:name w:val="Comment Text Char1"/>
    <w:basedOn w:val="DefaultParagraphFont"/>
    <w:uiPriority w:val="99"/>
    <w:semiHidden/>
    <w:rsid w:val="00C63735"/>
    <w:rPr>
      <w:sz w:val="20"/>
      <w:szCs w:val="20"/>
    </w:rPr>
  </w:style>
  <w:style w:type="character" w:styleId="CommentReference">
    <w:name w:val="annotation reference"/>
    <w:basedOn w:val="DefaultParagraphFont"/>
    <w:uiPriority w:val="99"/>
    <w:semiHidden/>
    <w:unhideWhenUsed/>
    <w:rsid w:val="00C63735"/>
    <w:rPr>
      <w:sz w:val="16"/>
      <w:szCs w:val="16"/>
    </w:rPr>
  </w:style>
  <w:style w:type="paragraph" w:styleId="BalloonText">
    <w:name w:val="Balloon Text"/>
    <w:basedOn w:val="Normal"/>
    <w:link w:val="BalloonTextChar"/>
    <w:uiPriority w:val="99"/>
    <w:semiHidden/>
    <w:unhideWhenUsed/>
    <w:rsid w:val="00C637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735"/>
    <w:rPr>
      <w:rFonts w:ascii="Segoe UI" w:hAnsi="Segoe UI" w:cs="Segoe UI"/>
      <w:sz w:val="18"/>
      <w:szCs w:val="18"/>
    </w:rPr>
  </w:style>
  <w:style w:type="table" w:styleId="TableGrid">
    <w:name w:val="Table Grid"/>
    <w:basedOn w:val="TableNormal"/>
    <w:uiPriority w:val="39"/>
    <w:rsid w:val="0017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BE288F-E57E-4237-A9C7-16639C5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Wheaton Schroeder</dc:creator>
  <cp:keywords/>
  <dc:description/>
  <cp:lastModifiedBy>Wheaton Schroeder</cp:lastModifiedBy>
  <cp:revision>9</cp:revision>
  <dcterms:created xsi:type="dcterms:W3CDTF">2020-01-08T19:25:00Z</dcterms:created>
  <dcterms:modified xsi:type="dcterms:W3CDTF">2020-01-10T15:09:00Z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67cf9e87-a861-3152-8b30-ab2d0f3abe47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https://csl.mendeley.com/styles/446088811/ieee</vt:lpwstr>
  </property>
  <property fmtid="{D5CDD505-2E9C-101B-9397-08002B2CF9AE}" pid="18" name="Mendeley Recent Style Name 6_1">
    <vt:lpwstr>IEEE - Wheaton Schroeder, PhD Student</vt:lpwstr>
  </property>
  <property fmtid="{D5CDD505-2E9C-101B-9397-08002B2CF9AE}" pid="19" name="Mendeley Recent Style Id 7_1">
    <vt:lpwstr>http://csl.mendeley.com/styles/446088811/PNAS</vt:lpwstr>
  </property>
  <property fmtid="{D5CDD505-2E9C-101B-9397-08002B2CF9AE}" pid="20" name="Mendeley Recent Style Name 7_1">
    <vt:lpwstr>PNAS Citation Style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