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1. </w:t>
      </w:r>
      <w:r>
        <w:t>Positioning relative to representative prior work, along the dimensions this study combines. A dash (–) denotes “not addressed”; KO/ZH/EN mark the corpus language.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5"/>
        <w:gridCol w:w="2135"/>
        <w:gridCol w:w="2135"/>
        <w:gridCol w:w="2135"/>
        <w:gridCol w:w="2135"/>
        <w:gridCol w:w="2135"/>
      </w:tblGrid>
      <w:tr>
        <w:tc>
          <w:tcPr>
            <w:tcW w:type="dxa" w:w="2135"/>
          </w:tcPr>
          <w:p>
            <w:r>
              <w:rPr>
                <w:b/>
                <w:sz w:val="19"/>
              </w:rPr>
              <w:t>Study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Setting (lang.)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ML vs LLM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Explanation compared across families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Ordinal-aware metrics / accuracy trap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Lawyer-verified inputs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Aletras et al. (2016)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ECtHR (EN)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ML only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binary accuracy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Zhong et al. (2018); Xiao et al. (2018)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China criminal (ZH)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ML / neural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task metrics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Dina et al. (2025) (review)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multi (EN)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ML only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flags accuracy overuse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Vats et al. (2023)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India (EN)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rationale quality only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macro-F1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Hwang et al. (2022) (LBOX OPEN)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Korea (KO)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ML baselines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task metrics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Pendyala and Hall (2024)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misinformation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LLM + XAI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XAI on LLM only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F1 / MCC / κ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This work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Korea DUI (KO)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yes (shared 5-factor space)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macro-F1, QWK; trap shown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yes (98.5%)</w:t>
            </w:r>
          </w:p>
        </w:tc>
      </w:tr>
    </w:tbl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