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2. Model performance on the 1,500-case benchmark, repeated stratified group-aware 5×5 cross-validation; mean (std) over 25 folds. Primary metrics are macro-F1 and QWK. Accuracy is shown only alongside the majority baseline (≈0.678) to expose its non-informativeness.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0"/>
        <w:gridCol w:w="1830"/>
        <w:gridCol w:w="1830"/>
        <w:gridCol w:w="1830"/>
        <w:gridCol w:w="1830"/>
        <w:gridCol w:w="1830"/>
        <w:gridCol w:w="1830"/>
      </w:tblGrid>
      <w:tr>
        <w:tc>
          <w:tcPr>
            <w:tcW w:type="dxa" w:w="1830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Repr.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macro-F1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QWK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Bal-acc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Acc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Tol(±1)</w:t>
            </w:r>
          </w:p>
        </w:tc>
      </w:tr>
      <w:tr>
        <w:tc>
          <w:tcPr>
            <w:tcW w:type="dxa" w:w="1830"/>
          </w:tcPr>
          <w:p>
            <w:r>
              <w:rPr>
                <w:sz w:val="19"/>
              </w:rPr>
              <w:t>Majority baseline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0.202 (.000)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0.000 (.000)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0.250 (.000)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0.678 (.002)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0.857 (.000)</w:t>
            </w:r>
          </w:p>
        </w:tc>
      </w:tr>
      <w:tr>
        <w:tc>
          <w:tcPr>
            <w:tcW w:type="dxa" w:w="1830"/>
          </w:tcPr>
          <w:p>
            <w:r>
              <w:rPr>
                <w:sz w:val="19"/>
              </w:rPr>
              <w:t>Random baseline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0.253 (.027)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−0.002 (.069)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0.254 (.028)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0.498 (.019)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0.757 (.026)</w:t>
            </w:r>
          </w:p>
        </w:tc>
      </w:tr>
      <w:tr>
        <w:tc>
          <w:tcPr>
            <w:tcW w:type="dxa" w:w="1830"/>
          </w:tcPr>
          <w:p>
            <w:r>
              <w:rPr>
                <w:sz w:val="19"/>
              </w:rPr>
              <w:t>SVM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structured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0.345 (.026)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0.269 (.040)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0.492 (.036)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0.348 (.031)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0.748 (.025)</w:t>
            </w:r>
          </w:p>
        </w:tc>
      </w:tr>
      <w:tr>
        <w:tc>
          <w:tcPr>
            <w:tcW w:type="dxa" w:w="1830"/>
          </w:tcPr>
          <w:p>
            <w:r>
              <w:rPr>
                <w:sz w:val="19"/>
              </w:rPr>
              <w:t>Logistic Reg.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structured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0.319 (.024)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0.240 (.036)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0.476 (.029)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0.340 (.028)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0.771 (.025)</w:t>
            </w:r>
          </w:p>
        </w:tc>
      </w:tr>
      <w:tr>
        <w:tc>
          <w:tcPr>
            <w:tcW w:type="dxa" w:w="1830"/>
          </w:tcPr>
          <w:p>
            <w:r>
              <w:rPr>
                <w:sz w:val="19"/>
              </w:rPr>
              <w:t>Random Forest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structured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0.390 (.026)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0.291 (.051)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0.416 (.034)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0.605 (.021)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0.853 (.016)</w:t>
            </w:r>
          </w:p>
        </w:tc>
      </w:tr>
      <w:tr>
        <w:tc>
          <w:tcPr>
            <w:tcW w:type="dxa" w:w="1830"/>
          </w:tcPr>
          <w:p>
            <w:r>
              <w:rPr>
                <w:sz w:val="19"/>
              </w:rPr>
              <w:t>LightGBM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structured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0.375 (.030)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0.233 (.058)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0.371 (.030)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0.595 (.019)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0.826 (.016)</w:t>
            </w:r>
          </w:p>
        </w:tc>
      </w:tr>
      <w:tr>
        <w:tc>
          <w:tcPr>
            <w:tcW w:type="dxa" w:w="1830"/>
          </w:tcPr>
          <w:p>
            <w:r>
              <w:rPr>
                <w:b/>
                <w:sz w:val="19"/>
              </w:rPr>
              <w:t>SVM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TF-IDF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0.451 (.032)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0.348 (.054)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0.489 (.037)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0.606 (.025)</w:t>
            </w:r>
          </w:p>
        </w:tc>
        <w:tc>
          <w:tcPr>
            <w:tcW w:type="dxa" w:w="1830"/>
          </w:tcPr>
          <w:p>
            <w:r>
              <w:rPr>
                <w:b/>
                <w:sz w:val="19"/>
              </w:rPr>
              <w:t>0.848 (.020)</w:t>
            </w:r>
          </w:p>
        </w:tc>
      </w:tr>
      <w:tr>
        <w:tc>
          <w:tcPr>
            <w:tcW w:type="dxa" w:w="1830"/>
          </w:tcPr>
          <w:p>
            <w:r>
              <w:rPr>
                <w:sz w:val="19"/>
              </w:rPr>
              <w:t>Logistic Reg.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TF-IDF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0.432 (.031)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0.328 (.049)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0.524 (.039)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0.517 (.030)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0.825 (.022)</w:t>
            </w:r>
          </w:p>
        </w:tc>
      </w:tr>
      <w:tr>
        <w:tc>
          <w:tcPr>
            <w:tcW w:type="dxa" w:w="1830"/>
          </w:tcPr>
          <w:p>
            <w:r>
              <w:rPr>
                <w:sz w:val="19"/>
              </w:rPr>
              <w:t>Random Forest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TF-IDF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0.378 (.033)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0.290 (.054)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0.385 (.031)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0.684 (.015)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0.880 (.012)</w:t>
            </w:r>
          </w:p>
        </w:tc>
      </w:tr>
      <w:tr>
        <w:tc>
          <w:tcPr>
            <w:tcW w:type="dxa" w:w="1830"/>
          </w:tcPr>
          <w:p>
            <w:r>
              <w:rPr>
                <w:sz w:val="19"/>
              </w:rPr>
              <w:t>LightGBM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TF-IDF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0.382 (.032)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0.295 (.072)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0.373 (.029)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0.682 (.014)</w:t>
            </w:r>
          </w:p>
        </w:tc>
        <w:tc>
          <w:tcPr>
            <w:tcW w:type="dxa" w:w="1830"/>
          </w:tcPr>
          <w:p>
            <w:r>
              <w:rPr>
                <w:sz w:val="19"/>
              </w:rPr>
              <w:t>0.881 (.013)</w:t>
            </w:r>
          </w:p>
        </w:tc>
      </w:tr>
    </w:tbl>
    <w:p>
      <w:r>
        <w:rPr>
          <w:i/>
          <w:color w:val="404040"/>
          <w:sz w:val="17"/>
        </w:rPr>
        <w:t>All eight ML configurations exceed the majority baseline on both primary metrics with 95% CIs excluding the baseline (Holm-corrected joint p ≈ 4.8 × 10⁻⁷; effect sizes Cohen’s d 4.0–7.7). Bold marks the best configuration (SVM + TF-IDF). Bal-acc = balanced accuracy; Acc = accuracy; Tol(±1) = fraction of predictions within one ordinal band of the true class; Repr. = feature representation. Mean absolute error in ordinal levels and in months is reported in the Supplemental Information. Reported effect sizes are metric-level standardized differences over 25 fold-by-repeat estimates.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