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 Explanation agreement between the ML SHAP ranking r_ML and each LLM’s factor ranking r_LLM, by the order-of-mention signal (the discriminative one; see Section 3.5). Kendall τ with exact permutation p (5! = 120), and Jaccard overlap of the top-2 / top-3 factor sets.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5"/>
        <w:gridCol w:w="2135"/>
        <w:gridCol w:w="2135"/>
        <w:gridCol w:w="2135"/>
        <w:gridCol w:w="2135"/>
        <w:gridCol w:w="2135"/>
      </w:tblGrid>
      <w:tr>
        <w:tc>
          <w:tcPr>
            <w:tcW w:type="dxa" w:w="2135"/>
          </w:tcPr>
          <w:p>
            <w:r>
              <w:rPr>
                <w:b/>
                <w:sz w:val="19"/>
              </w:rPr>
              <w:t>LLM config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Independent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Kendall τ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perm p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Jaccard@2</w:t>
            </w:r>
          </w:p>
        </w:tc>
        <w:tc>
          <w:tcPr>
            <w:tcW w:type="dxa" w:w="2135"/>
          </w:tcPr>
          <w:p>
            <w:r>
              <w:rPr>
                <w:b/>
                <w:sz w:val="19"/>
              </w:rPr>
              <w:t>Jaccard@3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GPT-5, zero-shot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0.083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Qwen3-8B, zero-shot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0.017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GPT-5, few-shot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no (template)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0.017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</w:tr>
      <w:tr>
        <w:tc>
          <w:tcPr>
            <w:tcW w:type="dxa" w:w="2135"/>
          </w:tcPr>
          <w:p>
            <w:r>
              <w:rPr>
                <w:sz w:val="19"/>
              </w:rPr>
              <w:t>Qwen3-8B, few-shot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no (template)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0.083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2135"/>
          </w:tcPr>
          <w:p>
            <w:r>
              <w:rPr>
                <w:sz w:val="19"/>
              </w:rPr>
              <w:t>1.00</w:t>
            </w:r>
          </w:p>
        </w:tc>
      </w:tr>
    </w:tbl>
    <w:p>
      <w:r>
        <w:rPr>
          <w:i/>
          <w:color w:val="404040"/>
          <w:sz w:val="17"/>
        </w:rPr>
        <w:t>“Independent” marks the zero-shot rows, whose rankings do not echo the prompt template. r_ML (TreeSHAP): prior-DUI &gt; BAC &gt; distance &gt; offense year &gt; vehicle. The five-factor space is coarse (a single pairwise τ &lt; 1.0 cannot reach p &lt; 0.05); top-set Jaccard is the stable signal. Citation-frequency results (saturated for GPT) are in the Supplemental Information. Case-bootstrap 95% CIs: Qwen zero-shot τ = 1.00 [1.00, 1.00]; GPT zero-shot τ = 0.80 [0.80, 1.00] (stable); Jaccard@2 = Jaccard@3 = 1.00 for both independent rows.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