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jc w:val="center"/>
      </w:pPr>
      <w:r>
        <w:rPr>
          <w:rFonts w:ascii="Aptos Display" w:hAnsi="Aptos Display"/>
          <w:b/>
          <w:color w:val="1F4E79"/>
          <w:sz w:val="50"/>
        </w:rPr>
        <w:t>Revisión del modelo de datos</w:t>
      </w:r>
    </w:p>
    <w:p>
      <w:pPr>
        <w:spacing w:after="560"/>
        <w:jc w:val="center"/>
      </w:pPr>
      <w:r>
        <w:rPr>
          <w:color w:val="555F69"/>
          <w:sz w:val="26"/>
        </w:rPr>
        <w:t>Diagrama Entidad–Relación, cardinalidades y restricciones</w:t>
      </w:r>
    </w:p>
    <w:p>
      <w:pPr>
        <w:jc w:val="center"/>
      </w:pPr>
      <w:r>
        <w:rPr>
          <w:i/>
          <w:sz w:val="22"/>
        </w:rPr>
        <w:t>Proyecto de plataforma de gestión documental y control de accesos para un barrio privado</w:t>
      </w:r>
    </w:p>
    <w:p>
      <w:r>
        <w:br w:type="page"/>
      </w:r>
    </w:p>
    <w:p>
      <w:pPr>
        <w:pStyle w:val="Heading1"/>
      </w:pPr>
      <w:r>
        <w:t>1. Objetivo del documento</w:t>
      </w:r>
    </w:p>
    <w:p>
      <w:r>
        <w:t>Este documento revisa el modelo Entidad–Relación (DER) propuesto para la plataforma de gestión documental y control de accesos de trabajadores externos. El análisis se centra en la correspondencia con los requisitos funcionales, no funcionales y reglas de negocio definidos para el proyecto, con especial atención a las cardinalidades, la opcionalidad de las relaciones y las restricciones que deberán implementarse en PostgreSQL y en la lógica de negocio del backend.</w:t>
      </w:r>
    </w:p>
    <w:p>
      <w:pPr>
        <w:pStyle w:val="Heading1"/>
      </w:pPr>
      <w:r>
        <w:t>2. Evaluación general</w:t>
      </w:r>
    </w:p>
    <w:p>
      <w:r>
        <w:t>La estructura general del modelo es adecuada para el alcance del MVP. La separación entre USUARIO, PERFIL, TRABAJADOR, DOCUMENTO, BARRIO, HABILITACION_BARRIO y MOVIMIENTO permite representar los principales procesos de registro, aprobación, gestión documental y control de accesos. No se recomienda reemplazar el diseño completo; sí conviene precisar algunas cardinalidades y definir restricciones adicionales antes de implementar las entidades JPA y las migraciones de Flyway.</w:t>
      </w:r>
    </w:p>
    <w:p>
      <w:r>
        <w:t>Es importante distinguir tres conceptos: la cardinalidad indica cuántas instancias pueden relacionarse; la opcionalidad determina si la relación puede no existir; y las reglas de negocio imponen condiciones adicionales que no siempre pueden expresarse únicamente mediante el DER.</w:t>
      </w:r>
    </w:p>
    <w:p>
      <w:pPr>
        <w:pStyle w:val="Heading1"/>
      </w:pPr>
      <w:r>
        <w:t>3. Revisión de las relaciones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ptos" w:hAnsi="Aptos"/>
                <w:b/>
                <w:color w:val="FFFFFF"/>
                <w:sz w:val="18"/>
              </w:rPr>
              <w:t>Relación</w:t>
            </w:r>
          </w:p>
        </w:tc>
        <w:tc>
          <w:tcPr>
            <w:tcW w:type="dxa" w:w="2484"/>
            <w:vAlign w:val="center"/>
            <w:shd w:fill="1F4E79"/>
          </w:tcPr>
          <w:p>
            <w:pPr>
              <w:spacing w:after="20"/>
            </w:pPr>
            <w:r/>
            <w:r>
              <w:rPr>
                <w:rFonts w:ascii="Aptos" w:hAnsi="Aptos"/>
                <w:b/>
                <w:color w:val="FFFFFF"/>
                <w:sz w:val="18"/>
              </w:rPr>
              <w:t>Cardinalidad</w:t>
            </w:r>
          </w:p>
        </w:tc>
        <w:tc>
          <w:tcPr>
            <w:tcW w:type="dxa" w:w="2484"/>
            <w:vAlign w:val="center"/>
            <w:shd w:fill="1F4E79"/>
          </w:tcPr>
          <w:p>
            <w:pPr>
              <w:spacing w:after="20"/>
            </w:pPr>
            <w:r/>
            <w:r>
              <w:rPr>
                <w:rFonts w:ascii="Aptos" w:hAnsi="Aptos"/>
                <w:b/>
                <w:color w:val="FFFFFF"/>
                <w:sz w:val="18"/>
              </w:rPr>
              <w:t>Evaluación / recomendación</w:t>
            </w:r>
          </w:p>
        </w:tc>
        <w:tc>
          <w:tcPr>
            <w:tcW w:type="dxa" w:w="2484"/>
            <w:vAlign w:val="center"/>
            <w:shd w:fill="1F4E79"/>
          </w:tcPr>
          <w:p>
            <w:pPr>
              <w:spacing w:after="20"/>
            </w:pPr>
            <w:r/>
            <w:r>
              <w:rPr>
                <w:rFonts w:ascii="Aptos" w:hAnsi="Aptos"/>
                <w:b/>
                <w:color w:val="FFFFFF"/>
                <w:sz w:val="18"/>
              </w:rPr>
              <w:t>Requisitos relacionados</w:t>
            </w:r>
          </w:p>
        </w:tc>
      </w:tr>
      <w:tr>
        <w:tc>
          <w:tcPr>
            <w:tcW w:type="dxa" w:w="2484"/>
            <w:vAlign w:val="center"/>
            <w:shd w:fill="F2F6FA"/>
          </w:tcPr>
          <w:p>
            <w:pPr>
              <w:spacing w:after="20"/>
            </w:pPr>
            <w:r/>
            <w:r>
              <w:rPr>
                <w:rFonts w:ascii="Aptos" w:hAnsi="Aptos"/>
                <w:b/>
                <w:sz w:val="16"/>
              </w:rPr>
              <w:t>USUARIO — OPERADOR</w:t>
            </w:r>
          </w:p>
        </w:tc>
        <w:tc>
          <w:tcPr>
            <w:tcW w:type="dxa" w:w="2484"/>
            <w:vAlign w:val="center"/>
            <w:shd w:fill="F2F6FA"/>
          </w:tcPr>
          <w:p>
            <w:pPr>
              <w:spacing w:after="20"/>
            </w:pPr>
            <w:r/>
            <w:r>
              <w:rPr>
                <w:rFonts w:ascii="Aptos" w:hAnsi="Aptos"/>
                <w:b w:val="0"/>
                <w:sz w:val="16"/>
              </w:rPr>
              <w:t>1 a 0..1</w:t>
            </w:r>
          </w:p>
        </w:tc>
        <w:tc>
          <w:tcPr>
            <w:tcW w:type="dxa" w:w="2484"/>
            <w:vAlign w:val="center"/>
            <w:shd w:fill="F2F6FA"/>
          </w:tcPr>
          <w:p>
            <w:pPr>
              <w:spacing w:after="20"/>
            </w:pPr>
            <w:r/>
            <w:r>
              <w:rPr>
                <w:rFonts w:ascii="Aptos" w:hAnsi="Aptos"/>
                <w:b w:val="0"/>
                <w:sz w:val="16"/>
              </w:rPr>
              <w:t>Adecuada. Una cuenta puede no tener perfil de Operador o tener uno; cada Operador corresponde a una sola cuenta.</w:t>
            </w:r>
          </w:p>
        </w:tc>
        <w:tc>
          <w:tcPr>
            <w:tcW w:type="dxa" w:w="2484"/>
            <w:vAlign w:val="center"/>
            <w:shd w:fill="F2F6FA"/>
          </w:tcPr>
          <w:p>
            <w:pPr>
              <w:spacing w:after="20"/>
            </w:pPr>
            <w:r/>
            <w:r>
              <w:rPr>
                <w:rFonts w:ascii="Aptos" w:hAnsi="Aptos"/>
                <w:b w:val="0"/>
                <w:sz w:val="16"/>
              </w:rPr>
              <w:t>RF-03, RF-07, RF-31, RF-32, RN-10</w:t>
            </w:r>
          </w:p>
        </w:tc>
      </w:tr>
      <w:tr>
        <w:tc>
          <w:tcPr>
            <w:tcW w:type="dxa" w:w="2484"/>
            <w:vAlign w:val="center"/>
          </w:tcPr>
          <w:p>
            <w:pPr>
              <w:spacing w:after="20"/>
            </w:pPr>
            <w:r/>
            <w:r>
              <w:rPr>
                <w:rFonts w:ascii="Aptos" w:hAnsi="Aptos"/>
                <w:b/>
                <w:sz w:val="16"/>
              </w:rPr>
              <w:t>USUARIO — GUARDIA</w:t>
            </w:r>
          </w:p>
        </w:tc>
        <w:tc>
          <w:tcPr>
            <w:tcW w:type="dxa" w:w="2484"/>
            <w:vAlign w:val="center"/>
          </w:tcPr>
          <w:p>
            <w:pPr>
              <w:spacing w:after="20"/>
            </w:pPr>
            <w:r/>
            <w:r>
              <w:rPr>
                <w:rFonts w:ascii="Aptos" w:hAnsi="Aptos"/>
                <w:b w:val="0"/>
                <w:sz w:val="16"/>
              </w:rPr>
              <w:t>1 a 0..1</w:t>
            </w:r>
          </w:p>
        </w:tc>
        <w:tc>
          <w:tcPr>
            <w:tcW w:type="dxa" w:w="2484"/>
            <w:vAlign w:val="center"/>
          </w:tcPr>
          <w:p>
            <w:pPr>
              <w:spacing w:after="20"/>
            </w:pPr>
            <w:r/>
            <w:r>
              <w:rPr>
                <w:rFonts w:ascii="Aptos" w:hAnsi="Aptos"/>
                <w:b w:val="0"/>
                <w:sz w:val="16"/>
              </w:rPr>
              <w:t>Adecuada. Cada Guardia tiene una cuenta y una cuenta puede no tener registro de Guardia. La baja lógica se representa con GUARDIA.habilitado.</w:t>
            </w:r>
          </w:p>
        </w:tc>
        <w:tc>
          <w:tcPr>
            <w:tcW w:type="dxa" w:w="2484"/>
            <w:vAlign w:val="center"/>
          </w:tcPr>
          <w:p>
            <w:pPr>
              <w:spacing w:after="20"/>
            </w:pPr>
            <w:r/>
            <w:r>
              <w:rPr>
                <w:rFonts w:ascii="Aptos" w:hAnsi="Aptos"/>
                <w:b w:val="0"/>
                <w:sz w:val="16"/>
              </w:rPr>
              <w:t>RF-14, RN-09</w:t>
            </w:r>
          </w:p>
        </w:tc>
      </w:tr>
      <w:tr>
        <w:tc>
          <w:tcPr>
            <w:tcW w:type="dxa" w:w="2484"/>
            <w:vAlign w:val="center"/>
            <w:shd w:fill="F2F6FA"/>
          </w:tcPr>
          <w:p>
            <w:pPr>
              <w:spacing w:after="20"/>
            </w:pPr>
            <w:r/>
            <w:r>
              <w:rPr>
                <w:rFonts w:ascii="Aptos" w:hAnsi="Aptos"/>
                <w:b/>
                <w:sz w:val="16"/>
              </w:rPr>
              <w:t>USUARIO — PERFIL</w:t>
            </w:r>
          </w:p>
        </w:tc>
        <w:tc>
          <w:tcPr>
            <w:tcW w:type="dxa" w:w="2484"/>
            <w:vAlign w:val="center"/>
            <w:shd w:fill="F2F6FA"/>
          </w:tcPr>
          <w:p>
            <w:pPr>
              <w:spacing w:after="20"/>
            </w:pPr>
            <w:r/>
            <w:r>
              <w:rPr>
                <w:rFonts w:ascii="Aptos" w:hAnsi="Aptos"/>
                <w:b w:val="0"/>
                <w:sz w:val="16"/>
              </w:rPr>
              <w:t>1 a 0..1</w:t>
            </w:r>
          </w:p>
        </w:tc>
        <w:tc>
          <w:tcPr>
            <w:tcW w:type="dxa" w:w="2484"/>
            <w:vAlign w:val="center"/>
            <w:shd w:fill="F2F6FA"/>
          </w:tcPr>
          <w:p>
            <w:pPr>
              <w:spacing w:after="20"/>
            </w:pPr>
            <w:r/>
            <w:r>
              <w:rPr>
                <w:rFonts w:ascii="Aptos" w:hAnsi="Aptos"/>
                <w:b w:val="0"/>
                <w:sz w:val="16"/>
              </w:rPr>
              <w:t>Adecuada para el MVP. Una cuenta puede no tener perfil operativo o tener un perfil Empresa/Monotributista. La posibilidad futura de varios roles requeriría rediseñar esta relación.</w:t>
            </w:r>
          </w:p>
        </w:tc>
        <w:tc>
          <w:tcPr>
            <w:tcW w:type="dxa" w:w="2484"/>
            <w:vAlign w:val="center"/>
            <w:shd w:fill="F2F6FA"/>
          </w:tcPr>
          <w:p>
            <w:pPr>
              <w:spacing w:after="20"/>
            </w:pPr>
            <w:r/>
            <w:r>
              <w:rPr>
                <w:rFonts w:ascii="Aptos" w:hAnsi="Aptos"/>
                <w:b w:val="0"/>
                <w:sz w:val="16"/>
              </w:rPr>
              <w:t>RF-08, RF-22, RN-12</w:t>
            </w:r>
          </w:p>
        </w:tc>
      </w:tr>
      <w:tr>
        <w:tc>
          <w:tcPr>
            <w:tcW w:type="dxa" w:w="2484"/>
            <w:vAlign w:val="center"/>
          </w:tcPr>
          <w:p>
            <w:pPr>
              <w:spacing w:after="20"/>
            </w:pPr>
            <w:r/>
            <w:r>
              <w:rPr>
                <w:rFonts w:ascii="Aptos" w:hAnsi="Aptos"/>
                <w:b/>
                <w:sz w:val="16"/>
              </w:rPr>
              <w:t>USUARIO — TOKEN</w:t>
            </w:r>
          </w:p>
        </w:tc>
        <w:tc>
          <w:tcPr>
            <w:tcW w:type="dxa" w:w="2484"/>
            <w:vAlign w:val="center"/>
          </w:tcPr>
          <w:p>
            <w:pPr>
              <w:spacing w:after="20"/>
            </w:pPr>
            <w:r/>
            <w:r>
              <w:rPr>
                <w:rFonts w:ascii="Aptos" w:hAnsi="Aptos"/>
                <w:b w:val="0"/>
                <w:sz w:val="16"/>
              </w:rPr>
              <w:t>1 a 0..N</w:t>
            </w:r>
          </w:p>
        </w:tc>
        <w:tc>
          <w:tcPr>
            <w:tcW w:type="dxa" w:w="2484"/>
            <w:vAlign w:val="center"/>
          </w:tcPr>
          <w:p>
            <w:pPr>
              <w:spacing w:after="20"/>
            </w:pPr>
            <w:r/>
            <w:r>
              <w:rPr>
                <w:rFonts w:ascii="Aptos" w:hAnsi="Aptos"/>
                <w:b w:val="0"/>
                <w:sz w:val="16"/>
              </w:rPr>
              <w:t>Adecuada para tokens de recuperación asociados a una cuenta. Los tokens de activación inicial del Administrador pueden tener usuario_id nulo.</w:t>
            </w:r>
          </w:p>
        </w:tc>
        <w:tc>
          <w:tcPr>
            <w:tcW w:type="dxa" w:w="2484"/>
            <w:vAlign w:val="center"/>
          </w:tcPr>
          <w:p>
            <w:pPr>
              <w:spacing w:after="20"/>
            </w:pPr>
            <w:r/>
            <w:r>
              <w:rPr>
                <w:rFonts w:ascii="Aptos" w:hAnsi="Aptos"/>
                <w:b w:val="0"/>
                <w:sz w:val="16"/>
              </w:rPr>
              <w:t>RF-01, RF-26</w:t>
            </w:r>
          </w:p>
        </w:tc>
      </w:tr>
      <w:tr>
        <w:tc>
          <w:tcPr>
            <w:tcW w:type="dxa" w:w="2484"/>
            <w:vAlign w:val="center"/>
            <w:shd w:fill="F2F6FA"/>
          </w:tcPr>
          <w:p>
            <w:pPr>
              <w:spacing w:after="20"/>
            </w:pPr>
            <w:r/>
            <w:r>
              <w:rPr>
                <w:rFonts w:ascii="Aptos" w:hAnsi="Aptos"/>
                <w:b/>
                <w:sz w:val="16"/>
              </w:rPr>
              <w:t>OPERADOR — BARRIO</w:t>
            </w:r>
          </w:p>
        </w:tc>
        <w:tc>
          <w:tcPr>
            <w:tcW w:type="dxa" w:w="2484"/>
            <w:vAlign w:val="center"/>
            <w:shd w:fill="F2F6FA"/>
          </w:tcPr>
          <w:p>
            <w:pPr>
              <w:spacing w:after="20"/>
            </w:pPr>
            <w:r/>
            <w:r>
              <w:rPr>
                <w:rFonts w:ascii="Aptos" w:hAnsi="Aptos"/>
                <w:b w:val="0"/>
                <w:sz w:val="16"/>
              </w:rPr>
              <w:t>0..1 a 0..1</w:t>
            </w:r>
          </w:p>
        </w:tc>
        <w:tc>
          <w:tcPr>
            <w:tcW w:type="dxa" w:w="2484"/>
            <w:vAlign w:val="center"/>
            <w:shd w:fill="F2F6FA"/>
          </w:tcPr>
          <w:p>
            <w:pPr>
              <w:spacing w:after="20"/>
            </w:pPr>
            <w:r/>
            <w:r>
              <w:rPr>
                <w:rFonts w:ascii="Aptos" w:hAnsi="Aptos"/>
                <w:b w:val="0"/>
                <w:sz w:val="16"/>
              </w:rPr>
              <w:t>Adecuada como relación opcional uno a uno. BARRIO.operador_id nullable y UNIQUE impide asignar el mismo Operador a más de un barrio. Debe garantizarse que un barrio activo tenga Operador.</w:t>
            </w:r>
          </w:p>
        </w:tc>
        <w:tc>
          <w:tcPr>
            <w:tcW w:type="dxa" w:w="2484"/>
            <w:vAlign w:val="center"/>
            <w:shd w:fill="F2F6FA"/>
          </w:tcPr>
          <w:p>
            <w:pPr>
              <w:spacing w:after="20"/>
            </w:pPr>
            <w:r/>
            <w:r>
              <w:rPr>
                <w:rFonts w:ascii="Aptos" w:hAnsi="Aptos"/>
                <w:b w:val="0"/>
                <w:sz w:val="16"/>
              </w:rPr>
              <w:t>RF-02, RF-03, RF-34, RN-10</w:t>
            </w:r>
          </w:p>
        </w:tc>
      </w:tr>
      <w:tr>
        <w:tc>
          <w:tcPr>
            <w:tcW w:type="dxa" w:w="2484"/>
            <w:vAlign w:val="center"/>
          </w:tcPr>
          <w:p>
            <w:pPr>
              <w:spacing w:after="20"/>
            </w:pPr>
            <w:r/>
            <w:r>
              <w:rPr>
                <w:rFonts w:ascii="Aptos" w:hAnsi="Aptos"/>
                <w:b/>
                <w:sz w:val="16"/>
              </w:rPr>
              <w:t>BARRIO — GUARDIA</w:t>
            </w:r>
          </w:p>
        </w:tc>
        <w:tc>
          <w:tcPr>
            <w:tcW w:type="dxa" w:w="2484"/>
            <w:vAlign w:val="center"/>
          </w:tcPr>
          <w:p>
            <w:pPr>
              <w:spacing w:after="20"/>
            </w:pPr>
            <w:r/>
            <w:r>
              <w:rPr>
                <w:rFonts w:ascii="Aptos" w:hAnsi="Aptos"/>
                <w:b w:val="0"/>
                <w:sz w:val="16"/>
              </w:rPr>
              <w:t>1 a 0..N</w:t>
            </w:r>
          </w:p>
        </w:tc>
        <w:tc>
          <w:tcPr>
            <w:tcW w:type="dxa" w:w="2484"/>
            <w:vAlign w:val="center"/>
          </w:tcPr>
          <w:p>
            <w:pPr>
              <w:spacing w:after="20"/>
            </w:pPr>
            <w:r/>
            <w:r>
              <w:rPr>
                <w:rFonts w:ascii="Aptos" w:hAnsi="Aptos"/>
                <w:b w:val="0"/>
                <w:sz w:val="16"/>
              </w:rPr>
              <w:t>Adecuada. Cada Guardia pertenece a un barrio; un barrio puede tener varios Guardias o ninguno.</w:t>
            </w:r>
          </w:p>
        </w:tc>
        <w:tc>
          <w:tcPr>
            <w:tcW w:type="dxa" w:w="2484"/>
            <w:vAlign w:val="center"/>
          </w:tcPr>
          <w:p>
            <w:pPr>
              <w:spacing w:after="20"/>
            </w:pPr>
            <w:r/>
            <w:r>
              <w:rPr>
                <w:rFonts w:ascii="Aptos" w:hAnsi="Aptos"/>
                <w:b w:val="0"/>
                <w:sz w:val="16"/>
              </w:rPr>
              <w:t>RF-14, RN-09, RN-13</w:t>
            </w:r>
          </w:p>
        </w:tc>
      </w:tr>
      <w:tr>
        <w:tc>
          <w:tcPr>
            <w:tcW w:type="dxa" w:w="2484"/>
            <w:vAlign w:val="center"/>
            <w:shd w:fill="F2F6FA"/>
          </w:tcPr>
          <w:p>
            <w:pPr>
              <w:spacing w:after="20"/>
            </w:pPr>
            <w:r/>
            <w:r>
              <w:rPr>
                <w:rFonts w:ascii="Aptos" w:hAnsi="Aptos"/>
                <w:b/>
                <w:sz w:val="16"/>
              </w:rPr>
              <w:t>PERFIL — TRABAJADOR</w:t>
            </w:r>
          </w:p>
        </w:tc>
        <w:tc>
          <w:tcPr>
            <w:tcW w:type="dxa" w:w="2484"/>
            <w:vAlign w:val="center"/>
            <w:shd w:fill="F2F6FA"/>
          </w:tcPr>
          <w:p>
            <w:pPr>
              <w:spacing w:after="20"/>
            </w:pPr>
            <w:r/>
            <w:r>
              <w:rPr>
                <w:rFonts w:ascii="Aptos" w:hAnsi="Aptos"/>
                <w:b w:val="0"/>
                <w:sz w:val="16"/>
              </w:rPr>
              <w:t>1 a 0..N</w:t>
            </w:r>
          </w:p>
        </w:tc>
        <w:tc>
          <w:tcPr>
            <w:tcW w:type="dxa" w:w="2484"/>
            <w:vAlign w:val="center"/>
            <w:shd w:fill="F2F6FA"/>
          </w:tcPr>
          <w:p>
            <w:pPr>
              <w:spacing w:after="20"/>
            </w:pPr>
            <w:r/>
            <w:r>
              <w:rPr>
                <w:rFonts w:ascii="Aptos" w:hAnsi="Aptos"/>
                <w:b w:val="0"/>
                <w:sz w:val="16"/>
              </w:rPr>
              <w:t>Adecuada. Cada trabajador pertenece a un único perfil. UNIQUE(perfil_id, dni) permite que un DNI se repita en perfiles distintos, pero no dentro del mismo perfil.</w:t>
            </w:r>
          </w:p>
        </w:tc>
        <w:tc>
          <w:tcPr>
            <w:tcW w:type="dxa" w:w="2484"/>
            <w:vAlign w:val="center"/>
            <w:shd w:fill="F2F6FA"/>
          </w:tcPr>
          <w:p>
            <w:pPr>
              <w:spacing w:after="20"/>
            </w:pPr>
            <w:r/>
            <w:r>
              <w:rPr>
                <w:rFonts w:ascii="Aptos" w:hAnsi="Aptos"/>
                <w:b w:val="0"/>
                <w:sz w:val="16"/>
              </w:rPr>
              <w:t>RF-09 a RF-13, RN-05, RN-07, RN-11</w:t>
            </w:r>
          </w:p>
        </w:tc>
      </w:tr>
      <w:tr>
        <w:tc>
          <w:tcPr>
            <w:tcW w:type="dxa" w:w="2484"/>
            <w:vAlign w:val="center"/>
          </w:tcPr>
          <w:p>
            <w:pPr>
              <w:spacing w:after="20"/>
            </w:pPr>
            <w:r/>
            <w:r>
              <w:rPr>
                <w:rFonts w:ascii="Aptos" w:hAnsi="Aptos"/>
                <w:b/>
                <w:sz w:val="16"/>
              </w:rPr>
              <w:t>TRABAJADOR — DOCUMENTO</w:t>
            </w:r>
          </w:p>
        </w:tc>
        <w:tc>
          <w:tcPr>
            <w:tcW w:type="dxa" w:w="2484"/>
            <w:vAlign w:val="center"/>
          </w:tcPr>
          <w:p>
            <w:pPr>
              <w:spacing w:after="20"/>
            </w:pPr>
            <w:r/>
            <w:r>
              <w:rPr>
                <w:rFonts w:ascii="Aptos" w:hAnsi="Aptos"/>
                <w:b w:val="0"/>
                <w:sz w:val="16"/>
              </w:rPr>
              <w:t>1 a 0..N</w:t>
            </w:r>
          </w:p>
        </w:tc>
        <w:tc>
          <w:tcPr>
            <w:tcW w:type="dxa" w:w="2484"/>
            <w:vAlign w:val="center"/>
          </w:tcPr>
          <w:p>
            <w:pPr>
              <w:spacing w:after="20"/>
            </w:pPr>
            <w:r/>
            <w:r>
              <w:rPr>
                <w:rFonts w:ascii="Aptos" w:hAnsi="Aptos"/>
                <w:b w:val="0"/>
                <w:sz w:val="16"/>
              </w:rPr>
              <w:t>Adecuada para permitir documentación pendiente y distintos tipos de documentos. Si se mantiene una sola versión actual por tipo, agregar UNIQUE(trabajador_id, tipo).</w:t>
            </w:r>
          </w:p>
        </w:tc>
        <w:tc>
          <w:tcPr>
            <w:tcW w:type="dxa" w:w="2484"/>
            <w:vAlign w:val="center"/>
          </w:tcPr>
          <w:p>
            <w:pPr>
              <w:spacing w:after="20"/>
            </w:pPr>
            <w:r/>
            <w:r>
              <w:rPr>
                <w:rFonts w:ascii="Aptos" w:hAnsi="Aptos"/>
                <w:b w:val="0"/>
                <w:sz w:val="16"/>
              </w:rPr>
              <w:t>RF-10, RF-13, RN-03, RN-04</w:t>
            </w:r>
          </w:p>
        </w:tc>
      </w:tr>
      <w:tr>
        <w:tc>
          <w:tcPr>
            <w:tcW w:type="dxa" w:w="2484"/>
            <w:vAlign w:val="center"/>
            <w:shd w:fill="F2F6FA"/>
          </w:tcPr>
          <w:p>
            <w:pPr>
              <w:spacing w:after="20"/>
            </w:pPr>
            <w:r/>
            <w:r>
              <w:rPr>
                <w:rFonts w:ascii="Aptos" w:hAnsi="Aptos"/>
                <w:b/>
                <w:sz w:val="16"/>
              </w:rPr>
              <w:t>TRABAJADOR — MOVIMIENTO</w:t>
            </w:r>
          </w:p>
        </w:tc>
        <w:tc>
          <w:tcPr>
            <w:tcW w:type="dxa" w:w="2484"/>
            <w:vAlign w:val="center"/>
            <w:shd w:fill="F2F6FA"/>
          </w:tcPr>
          <w:p>
            <w:pPr>
              <w:spacing w:after="20"/>
            </w:pPr>
            <w:r/>
            <w:r>
              <w:rPr>
                <w:rFonts w:ascii="Aptos" w:hAnsi="Aptos"/>
                <w:b w:val="0"/>
                <w:sz w:val="16"/>
              </w:rPr>
              <w:t>1 a 0..N</w:t>
            </w:r>
          </w:p>
        </w:tc>
        <w:tc>
          <w:tcPr>
            <w:tcW w:type="dxa" w:w="2484"/>
            <w:vAlign w:val="center"/>
            <w:shd w:fill="F2F6FA"/>
          </w:tcPr>
          <w:p>
            <w:pPr>
              <w:spacing w:after="20"/>
            </w:pPr>
            <w:r/>
            <w:r>
              <w:rPr>
                <w:rFonts w:ascii="Aptos" w:hAnsi="Aptos"/>
                <w:b w:val="0"/>
                <w:sz w:val="16"/>
              </w:rPr>
              <w:t>Adecuada para el historial. Se debe identificar explícitamente qué ingreso cierra cada egreso y validar ingresos activos por DNI y barrio.</w:t>
            </w:r>
          </w:p>
        </w:tc>
        <w:tc>
          <w:tcPr>
            <w:tcW w:type="dxa" w:w="2484"/>
            <w:vAlign w:val="center"/>
            <w:shd w:fill="F2F6FA"/>
          </w:tcPr>
          <w:p>
            <w:pPr>
              <w:spacing w:after="20"/>
            </w:pPr>
            <w:r/>
            <w:r>
              <w:rPr>
                <w:rFonts w:ascii="Aptos" w:hAnsi="Aptos"/>
                <w:b w:val="0"/>
                <w:sz w:val="16"/>
              </w:rPr>
              <w:t>RF-18 a RF-20, RN-06, RN-08</w:t>
            </w:r>
          </w:p>
        </w:tc>
      </w:tr>
      <w:tr>
        <w:tc>
          <w:tcPr>
            <w:tcW w:type="dxa" w:w="2484"/>
            <w:vAlign w:val="center"/>
          </w:tcPr>
          <w:p>
            <w:pPr>
              <w:spacing w:after="20"/>
            </w:pPr>
            <w:r/>
            <w:r>
              <w:rPr>
                <w:rFonts w:ascii="Aptos" w:hAnsi="Aptos"/>
                <w:b/>
                <w:sz w:val="16"/>
              </w:rPr>
              <w:t>BARRIO — MOVIMIENTO</w:t>
            </w:r>
          </w:p>
        </w:tc>
        <w:tc>
          <w:tcPr>
            <w:tcW w:type="dxa" w:w="2484"/>
            <w:vAlign w:val="center"/>
          </w:tcPr>
          <w:p>
            <w:pPr>
              <w:spacing w:after="20"/>
            </w:pPr>
            <w:r/>
            <w:r>
              <w:rPr>
                <w:rFonts w:ascii="Aptos" w:hAnsi="Aptos"/>
                <w:b w:val="0"/>
                <w:sz w:val="16"/>
              </w:rPr>
              <w:t>1 a 0..N</w:t>
            </w:r>
          </w:p>
        </w:tc>
        <w:tc>
          <w:tcPr>
            <w:tcW w:type="dxa" w:w="2484"/>
            <w:vAlign w:val="center"/>
          </w:tcPr>
          <w:p>
            <w:pPr>
              <w:spacing w:after="20"/>
            </w:pPr>
            <w:r/>
            <w:r>
              <w:rPr>
                <w:rFonts w:ascii="Aptos" w:hAnsi="Aptos"/>
                <w:b w:val="0"/>
                <w:sz w:val="16"/>
              </w:rPr>
              <w:t>Adecuada. Cada movimiento ocurre en un barrio y un barrio puede acumular muchos movimientos.</w:t>
            </w:r>
          </w:p>
        </w:tc>
        <w:tc>
          <w:tcPr>
            <w:tcW w:type="dxa" w:w="2484"/>
            <w:vAlign w:val="center"/>
          </w:tcPr>
          <w:p>
            <w:pPr>
              <w:spacing w:after="20"/>
            </w:pPr>
            <w:r/>
            <w:r>
              <w:rPr>
                <w:rFonts w:ascii="Aptos" w:hAnsi="Aptos"/>
                <w:b w:val="0"/>
                <w:sz w:val="16"/>
              </w:rPr>
              <w:t>RF-18 a RF-20, RN-06, RN-13</w:t>
            </w:r>
          </w:p>
        </w:tc>
      </w:tr>
      <w:tr>
        <w:tc>
          <w:tcPr>
            <w:tcW w:type="dxa" w:w="2484"/>
            <w:vAlign w:val="center"/>
            <w:shd w:fill="F2F6FA"/>
          </w:tcPr>
          <w:p>
            <w:pPr>
              <w:spacing w:after="20"/>
            </w:pPr>
            <w:r/>
            <w:r>
              <w:rPr>
                <w:rFonts w:ascii="Aptos" w:hAnsi="Aptos"/>
                <w:b/>
                <w:sz w:val="16"/>
              </w:rPr>
              <w:t>GUARDIA — MOVIMIENTO</w:t>
            </w:r>
          </w:p>
        </w:tc>
        <w:tc>
          <w:tcPr>
            <w:tcW w:type="dxa" w:w="2484"/>
            <w:vAlign w:val="center"/>
            <w:shd w:fill="F2F6FA"/>
          </w:tcPr>
          <w:p>
            <w:pPr>
              <w:spacing w:after="20"/>
            </w:pPr>
            <w:r/>
            <w:r>
              <w:rPr>
                <w:rFonts w:ascii="Aptos" w:hAnsi="Aptos"/>
                <w:b w:val="0"/>
                <w:sz w:val="16"/>
              </w:rPr>
              <w:t>GUARDIA 0..1 por movimiento; 0..N movimientos por Guardia</w:t>
            </w:r>
          </w:p>
        </w:tc>
        <w:tc>
          <w:tcPr>
            <w:tcW w:type="dxa" w:w="2484"/>
            <w:vAlign w:val="center"/>
            <w:shd w:fill="F2F6FA"/>
          </w:tcPr>
          <w:p>
            <w:pPr>
              <w:spacing w:after="20"/>
            </w:pPr>
            <w:r/>
            <w:r>
              <w:rPr>
                <w:rFonts w:ascii="Aptos" w:hAnsi="Aptos"/>
                <w:b w:val="0"/>
                <w:sz w:val="16"/>
              </w:rPr>
              <w:t>La intención es correcta, pero la notación Mermaid debe expresarse como GUARDIA o|--o{ MOVIMIENTO. El guardia_id puede ser NULL para movimientos automáticos.</w:t>
            </w:r>
          </w:p>
        </w:tc>
        <w:tc>
          <w:tcPr>
            <w:tcW w:type="dxa" w:w="2484"/>
            <w:vAlign w:val="center"/>
            <w:shd w:fill="F2F6FA"/>
          </w:tcPr>
          <w:p>
            <w:pPr>
              <w:spacing w:after="20"/>
            </w:pPr>
            <w:r/>
            <w:r>
              <w:rPr>
                <w:rFonts w:ascii="Aptos" w:hAnsi="Aptos"/>
                <w:b w:val="0"/>
                <w:sz w:val="16"/>
              </w:rPr>
              <w:t>RF-20, RN-06, RN-13</w:t>
            </w:r>
          </w:p>
        </w:tc>
      </w:tr>
      <w:tr>
        <w:tc>
          <w:tcPr>
            <w:tcW w:type="dxa" w:w="2484"/>
            <w:vAlign w:val="center"/>
          </w:tcPr>
          <w:p>
            <w:pPr>
              <w:spacing w:after="20"/>
            </w:pPr>
            <w:r/>
            <w:r>
              <w:rPr>
                <w:rFonts w:ascii="Aptos" w:hAnsi="Aptos"/>
                <w:b/>
                <w:sz w:val="16"/>
              </w:rPr>
              <w:t>PERFIL — HABILITACION_BARRIO — BARRIO</w:t>
            </w:r>
          </w:p>
        </w:tc>
        <w:tc>
          <w:tcPr>
            <w:tcW w:type="dxa" w:w="2484"/>
            <w:vAlign w:val="center"/>
          </w:tcPr>
          <w:p>
            <w:pPr>
              <w:spacing w:after="20"/>
            </w:pPr>
            <w:r/>
            <w:r>
              <w:rPr>
                <w:rFonts w:ascii="Aptos" w:hAnsi="Aptos"/>
                <w:b w:val="0"/>
                <w:sz w:val="16"/>
              </w:rPr>
              <w:t>N:N resuelta por tabla intermedia</w:t>
            </w:r>
          </w:p>
        </w:tc>
        <w:tc>
          <w:tcPr>
            <w:tcW w:type="dxa" w:w="2484"/>
            <w:vAlign w:val="center"/>
          </w:tcPr>
          <w:p>
            <w:pPr>
              <w:spacing w:after="20"/>
            </w:pPr>
            <w:r/>
            <w:r>
              <w:rPr>
                <w:rFonts w:ascii="Aptos" w:hAnsi="Aptos"/>
                <w:b w:val="0"/>
                <w:sz w:val="16"/>
              </w:rPr>
              <w:t>Adecuada. La clave primaria compuesta (perfil_id, barrio_id) impide duplicar la combinación. Si no existe fila, el perfil se considera deshabilitado para ese barrio.</w:t>
            </w:r>
          </w:p>
        </w:tc>
        <w:tc>
          <w:tcPr>
            <w:tcW w:type="dxa" w:w="2484"/>
            <w:vAlign w:val="center"/>
          </w:tcPr>
          <w:p>
            <w:pPr>
              <w:spacing w:after="20"/>
            </w:pPr>
            <w:r/>
            <w:r>
              <w:rPr>
                <w:rFonts w:ascii="Aptos" w:hAnsi="Aptos"/>
                <w:b w:val="0"/>
                <w:sz w:val="16"/>
              </w:rPr>
              <w:t>RF-05, RF-15, RF-16, RN-01, RN-02</w:t>
            </w:r>
          </w:p>
        </w:tc>
      </w:tr>
    </w:tbl>
    <w:p/>
    <w:p>
      <w:pPr>
        <w:pStyle w:val="Heading1"/>
      </w:pPr>
      <w:r>
        <w:t>4. Ajustes recomendados</w:t>
      </w:r>
    </w:p>
    <w:p>
      <w:pPr>
        <w:pStyle w:val="Heading2"/>
      </w:pPr>
      <w:r>
        <w:t>4.1. Relación GUARDIA — MOVIMIENTO</w:t>
      </w:r>
    </w:p>
    <w:p>
      <w:r>
        <w:t>La relación debe representar que cada movimiento puede estar asociado a cero o un Guardia, mientras que un Guardia puede registrar cero o muchos movimientos. La notación Mermaid recomendada es:</w:t>
      </w:r>
    </w:p>
    <w:p>
      <w:r>
        <w:rPr>
          <w:rFonts w:ascii="Consolas" w:hAnsi="Consolas"/>
          <w:sz w:val="20"/>
        </w:rPr>
        <w:t>GUARDIA o|--o{ MOVIMIENTO : registra</w:t>
      </w:r>
    </w:p>
    <w:p>
      <w:pPr>
        <w:pStyle w:val="Heading2"/>
      </w:pPr>
      <w:r>
        <w:t>4.2. Vinculación de ingresos y egresos</w:t>
      </w:r>
    </w:p>
    <w:p>
      <w:r>
        <w:t>El campo tipo permite distinguir INGRESO de EGRESO, pero por sí solo no identifica inequívocamente qué ingreso está cerrando un egreso. Se recomienda incorporar ingreso_id, una FK opcional a MOVIMIENTO.id, o una estructura equivalente. En un egreso, el campo referenciaría el movimiento de tipo INGRESO que se cierra. Debe existir una restricción que impida asociar más de un egreso al mismo ingreso.</w:t>
      </w:r>
    </w:p>
    <w:p>
      <w:r>
        <w:t>La validación de ingreso activo debe realizarse por DNI y barrio, considerando todos los registros de trabajadores que compartan ese DNI, aunque pertenezcan a perfiles distintos. Esto responde a RN-08. La operación de registro debe ejecutarse de forma transaccional para reducir el riesgo de dos ingresos simultáneos por solicitudes concurrentes.</w:t>
      </w:r>
    </w:p>
    <w:p>
      <w:pPr>
        <w:pStyle w:val="Heading2"/>
      </w:pPr>
      <w:r>
        <w:t>4.3. Documentos y renovaciones</w:t>
      </w:r>
    </w:p>
    <w:p>
      <w:r>
        <w:t>Si la tabla DOCUMENTO conserva únicamente la versión actual de cada documento, se recomienda UNIQUE(trabajador_id, tipo), con tipo limitado a ART o SEGURO_VIDA. La renovación actualizaría la ruta, fecha de vencimiento y fecha de modificación. Si se necesita conservar versiones históricas, deberá modelarse el historial por separado o incorporar una relación entre documento y versiones.</w:t>
      </w:r>
    </w:p>
    <w:p>
      <w:r>
        <w:t>También debe definirse expresamente si ART y Seguro de Vida son ambos obligatorios. Si los dos son requisitos de acceso, la ausencia de cualquiera debe producir el estado PENDIENTE_DE_CARGA. Si ambos existen, el estado debe calcularse tomando el vencimiento más próximo, de acuerdo con RN-04.</w:t>
      </w:r>
    </w:p>
    <w:p>
      <w:pPr>
        <w:pStyle w:val="Heading2"/>
      </w:pPr>
      <w:r>
        <w:t>4.4. Habilitaciones por barrio</w:t>
      </w:r>
    </w:p>
    <w:p>
      <w:r>
        <w:t>La tabla HABILITACION_BARRIO con clave primaria compuesta es suficiente para el MVP si se registra una fila solo cuando el perfil está habilitado. Si se necesita mantener un historial de habilitaciones y deshabilitaciones, conviene conservar la fila y agregar un atributo habilitado, junto con fechas de creación y modificación. En cualquier variante, la habilitación por barrio no sustituye la verificación del estado global del perfil ni del estado del barrio.</w:t>
      </w:r>
    </w:p>
    <w:p>
      <w:pPr>
        <w:pStyle w:val="Heading2"/>
      </w:pPr>
      <w:r>
        <w:t>4.5. Usuario y perfil</w:t>
      </w:r>
    </w:p>
    <w:p>
      <w:r>
        <w:t>El modelo permite cuentas sin perfil operativo, requisito necesario para solicitudes incompletas, pendientes o rechazadas. El rechazo no debe eliminar la cuenta. El campo USUARIO.tipo debe definirse cuidadosamente para evitar inconsistencias con OPERADOR, GUARDIA y PERFIL. Para el MVP puede mantenerse si la asignación de roles se valida en el backend; si se prevén varios roles por cuenta, sería preferible una tabla de roles y una relación muchos a muchos.</w:t>
      </w:r>
    </w:p>
    <w:p>
      <w:pPr>
        <w:pStyle w:val="Heading1"/>
      </w:pPr>
      <w:r>
        <w:t>5. Restricciones de integridad recomendadas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ptos" w:hAnsi="Aptos"/>
                <w:b/>
                <w:color w:val="FFFFFF"/>
                <w:sz w:val="18"/>
              </w:rPr>
              <w:t>Campo / entidad</w:t>
            </w:r>
          </w:p>
        </w:tc>
        <w:tc>
          <w:tcPr>
            <w:tcW w:type="dxa" w:w="4968"/>
            <w:vAlign w:val="center"/>
            <w:shd w:fill="1F4E79"/>
          </w:tcPr>
          <w:p>
            <w:pPr>
              <w:spacing w:after="20"/>
            </w:pPr>
            <w:r/>
            <w:r>
              <w:rPr>
                <w:rFonts w:ascii="Aptos" w:hAnsi="Aptos"/>
                <w:b/>
                <w:color w:val="FFFFFF"/>
                <w:sz w:val="18"/>
              </w:rPr>
              <w:t>Restricción o consideración</w:t>
            </w:r>
          </w:p>
        </w:tc>
      </w:tr>
      <w:tr>
        <w:tc>
          <w:tcPr>
            <w:tcW w:type="dxa" w:w="4968"/>
            <w:vAlign w:val="center"/>
            <w:shd w:fill="F2F6FA"/>
          </w:tcPr>
          <w:p>
            <w:pPr>
              <w:spacing w:after="20"/>
            </w:pPr>
            <w:r/>
            <w:r>
              <w:rPr>
                <w:rFonts w:ascii="Aptos" w:hAnsi="Aptos"/>
                <w:b/>
                <w:sz w:val="18"/>
              </w:rPr>
              <w:t>USUARIO.email</w:t>
            </w:r>
          </w:p>
        </w:tc>
        <w:tc>
          <w:tcPr>
            <w:tcW w:type="dxa" w:w="4968"/>
            <w:vAlign w:val="center"/>
            <w:shd w:fill="F2F6FA"/>
          </w:tcPr>
          <w:p>
            <w:pPr>
              <w:spacing w:after="20"/>
            </w:pPr>
            <w:r/>
            <w:r>
              <w:rPr>
                <w:rFonts w:ascii="Aptos" w:hAnsi="Aptos"/>
                <w:b w:val="0"/>
                <w:sz w:val="18"/>
              </w:rPr>
              <w:t>Único sin distinguir mayúsculas/minúsculas; por ejemplo, índice único sobre lower(email).</w:t>
            </w:r>
          </w:p>
        </w:tc>
      </w:tr>
      <w:tr>
        <w:tc>
          <w:tcPr>
            <w:tcW w:type="dxa" w:w="4968"/>
            <w:vAlign w:val="center"/>
          </w:tcPr>
          <w:p>
            <w:pPr>
              <w:spacing w:after="20"/>
            </w:pPr>
            <w:r/>
            <w:r>
              <w:rPr>
                <w:rFonts w:ascii="Aptos" w:hAnsi="Aptos"/>
                <w:b/>
                <w:sz w:val="18"/>
              </w:rPr>
              <w:t>PERFIL.usuario_id</w:t>
            </w:r>
          </w:p>
        </w:tc>
        <w:tc>
          <w:tcPr>
            <w:tcW w:type="dxa" w:w="4968"/>
            <w:vAlign w:val="center"/>
          </w:tcPr>
          <w:p>
            <w:pPr>
              <w:spacing w:after="20"/>
            </w:pPr>
            <w:r/>
            <w:r>
              <w:rPr>
                <w:rFonts w:ascii="Aptos" w:hAnsi="Aptos"/>
                <w:b w:val="0"/>
                <w:sz w:val="18"/>
              </w:rPr>
              <w:t>UNIQUE para asegurar como máximo un perfil por cuenta en el MVP.</w:t>
            </w:r>
          </w:p>
        </w:tc>
      </w:tr>
      <w:tr>
        <w:tc>
          <w:tcPr>
            <w:tcW w:type="dxa" w:w="4968"/>
            <w:vAlign w:val="center"/>
            <w:shd w:fill="F2F6FA"/>
          </w:tcPr>
          <w:p>
            <w:pPr>
              <w:spacing w:after="20"/>
            </w:pPr>
            <w:r/>
            <w:r>
              <w:rPr>
                <w:rFonts w:ascii="Aptos" w:hAnsi="Aptos"/>
                <w:b/>
                <w:sz w:val="18"/>
              </w:rPr>
              <w:t>PERFIL.cuit_cuil</w:t>
            </w:r>
          </w:p>
        </w:tc>
        <w:tc>
          <w:tcPr>
            <w:tcW w:type="dxa" w:w="4968"/>
            <w:vAlign w:val="center"/>
            <w:shd w:fill="F2F6FA"/>
          </w:tcPr>
          <w:p>
            <w:pPr>
              <w:spacing w:after="20"/>
            </w:pPr>
            <w:r/>
            <w:r>
              <w:rPr>
                <w:rFonts w:ascii="Aptos" w:hAnsi="Aptos"/>
                <w:b w:val="0"/>
                <w:sz w:val="18"/>
              </w:rPr>
              <w:t>UNIQUE y validación de formato; considerar que el valor se interpreta según el tipo de perfil.</w:t>
            </w:r>
          </w:p>
        </w:tc>
      </w:tr>
      <w:tr>
        <w:tc>
          <w:tcPr>
            <w:tcW w:type="dxa" w:w="4968"/>
            <w:vAlign w:val="center"/>
          </w:tcPr>
          <w:p>
            <w:pPr>
              <w:spacing w:after="20"/>
            </w:pPr>
            <w:r/>
            <w:r>
              <w:rPr>
                <w:rFonts w:ascii="Aptos" w:hAnsi="Aptos"/>
                <w:b/>
                <w:sz w:val="18"/>
              </w:rPr>
              <w:t>PERFIL.dni_titular</w:t>
            </w:r>
          </w:p>
        </w:tc>
        <w:tc>
          <w:tcPr>
            <w:tcW w:type="dxa" w:w="4968"/>
            <w:vAlign w:val="center"/>
          </w:tcPr>
          <w:p>
            <w:pPr>
              <w:spacing w:after="20"/>
            </w:pPr>
            <w:r/>
            <w:r>
              <w:rPr>
                <w:rFonts w:ascii="Aptos" w:hAnsi="Aptos"/>
                <w:b w:val="0"/>
                <w:sz w:val="18"/>
              </w:rPr>
              <w:t>UNIQUE para garantizar que un DNI esté asociado a un solo perfil de Monotributista.</w:t>
            </w:r>
          </w:p>
        </w:tc>
      </w:tr>
      <w:tr>
        <w:tc>
          <w:tcPr>
            <w:tcW w:type="dxa" w:w="4968"/>
            <w:vAlign w:val="center"/>
            <w:shd w:fill="F2F6FA"/>
          </w:tcPr>
          <w:p>
            <w:pPr>
              <w:spacing w:after="20"/>
            </w:pPr>
            <w:r/>
            <w:r>
              <w:rPr>
                <w:rFonts w:ascii="Aptos" w:hAnsi="Aptos"/>
                <w:b/>
                <w:sz w:val="18"/>
              </w:rPr>
              <w:t>BARRIO.operador_id</w:t>
            </w:r>
          </w:p>
        </w:tc>
        <w:tc>
          <w:tcPr>
            <w:tcW w:type="dxa" w:w="4968"/>
            <w:vAlign w:val="center"/>
            <w:shd w:fill="F2F6FA"/>
          </w:tcPr>
          <w:p>
            <w:pPr>
              <w:spacing w:after="20"/>
            </w:pPr>
            <w:r/>
            <w:r>
              <w:rPr>
                <w:rFonts w:ascii="Aptos" w:hAnsi="Aptos"/>
                <w:b w:val="0"/>
                <w:sz w:val="18"/>
              </w:rPr>
              <w:t>UNIQUE y nullable; un barrio activo debe tener Operador.</w:t>
            </w:r>
          </w:p>
        </w:tc>
      </w:tr>
      <w:tr>
        <w:tc>
          <w:tcPr>
            <w:tcW w:type="dxa" w:w="4968"/>
            <w:vAlign w:val="center"/>
          </w:tcPr>
          <w:p>
            <w:pPr>
              <w:spacing w:after="20"/>
            </w:pPr>
            <w:r/>
            <w:r>
              <w:rPr>
                <w:rFonts w:ascii="Aptos" w:hAnsi="Aptos"/>
                <w:b/>
                <w:sz w:val="18"/>
              </w:rPr>
              <w:t>TRABAJADOR(perfil_id, dni)</w:t>
            </w:r>
          </w:p>
        </w:tc>
        <w:tc>
          <w:tcPr>
            <w:tcW w:type="dxa" w:w="4968"/>
            <w:vAlign w:val="center"/>
          </w:tcPr>
          <w:p>
            <w:pPr>
              <w:spacing w:after="20"/>
            </w:pPr>
            <w:r/>
            <w:r>
              <w:rPr>
                <w:rFonts w:ascii="Aptos" w:hAnsi="Aptos"/>
                <w:b w:val="0"/>
                <w:sz w:val="18"/>
              </w:rPr>
              <w:t>UNIQUE para evitar duplicados de DNI dentro del mismo perfil.</w:t>
            </w:r>
          </w:p>
        </w:tc>
      </w:tr>
      <w:tr>
        <w:tc>
          <w:tcPr>
            <w:tcW w:type="dxa" w:w="4968"/>
            <w:vAlign w:val="center"/>
            <w:shd w:fill="F2F6FA"/>
          </w:tcPr>
          <w:p>
            <w:pPr>
              <w:spacing w:after="20"/>
            </w:pPr>
            <w:r/>
            <w:r>
              <w:rPr>
                <w:rFonts w:ascii="Aptos" w:hAnsi="Aptos"/>
                <w:b/>
                <w:sz w:val="18"/>
              </w:rPr>
              <w:t>DOCUMENTO(trabajador_id, tipo)</w:t>
            </w:r>
          </w:p>
        </w:tc>
        <w:tc>
          <w:tcPr>
            <w:tcW w:type="dxa" w:w="4968"/>
            <w:vAlign w:val="center"/>
            <w:shd w:fill="F2F6FA"/>
          </w:tcPr>
          <w:p>
            <w:pPr>
              <w:spacing w:after="20"/>
            </w:pPr>
            <w:r/>
            <w:r>
              <w:rPr>
                <w:rFonts w:ascii="Aptos" w:hAnsi="Aptos"/>
                <w:b w:val="0"/>
                <w:sz w:val="18"/>
              </w:rPr>
              <w:t>UNIQUE si solo se guarda la versión actual por tipo.</w:t>
            </w:r>
          </w:p>
        </w:tc>
      </w:tr>
      <w:tr>
        <w:tc>
          <w:tcPr>
            <w:tcW w:type="dxa" w:w="4968"/>
            <w:vAlign w:val="center"/>
          </w:tcPr>
          <w:p>
            <w:pPr>
              <w:spacing w:after="20"/>
            </w:pPr>
            <w:r/>
            <w:r>
              <w:rPr>
                <w:rFonts w:ascii="Aptos" w:hAnsi="Aptos"/>
                <w:b/>
                <w:sz w:val="18"/>
              </w:rPr>
              <w:t>MOVIMIENTO</w:t>
            </w:r>
          </w:p>
        </w:tc>
        <w:tc>
          <w:tcPr>
            <w:tcW w:type="dxa" w:w="4968"/>
            <w:vAlign w:val="center"/>
          </w:tcPr>
          <w:p>
            <w:pPr>
              <w:spacing w:after="20"/>
            </w:pPr>
            <w:r/>
            <w:r>
              <w:rPr>
                <w:rFonts w:ascii="Aptos" w:hAnsi="Aptos"/>
                <w:b w:val="0"/>
                <w:sz w:val="18"/>
              </w:rPr>
              <w:t>Validar tipo, relación entre ingreso y egreso, y ausencia de ingresos activos duplicados por DNI y barrio.</w:t>
            </w:r>
          </w:p>
        </w:tc>
      </w:tr>
      <w:tr>
        <w:tc>
          <w:tcPr>
            <w:tcW w:type="dxa" w:w="4968"/>
            <w:vAlign w:val="center"/>
            <w:shd w:fill="F2F6FA"/>
          </w:tcPr>
          <w:p>
            <w:pPr>
              <w:spacing w:after="20"/>
            </w:pPr>
            <w:r/>
            <w:r>
              <w:rPr>
                <w:rFonts w:ascii="Aptos" w:hAnsi="Aptos"/>
                <w:b/>
                <w:sz w:val="18"/>
              </w:rPr>
              <w:t>Estados y tipos</w:t>
            </w:r>
          </w:p>
        </w:tc>
        <w:tc>
          <w:tcPr>
            <w:tcW w:type="dxa" w:w="4968"/>
            <w:vAlign w:val="center"/>
            <w:shd w:fill="F2F6FA"/>
          </w:tcPr>
          <w:p>
            <w:pPr>
              <w:spacing w:after="20"/>
            </w:pPr>
            <w:r/>
            <w:r>
              <w:rPr>
                <w:rFonts w:ascii="Aptos" w:hAnsi="Aptos"/>
                <w:b w:val="0"/>
                <w:sz w:val="18"/>
              </w:rPr>
              <w:t>Usar CHECK o tipos controlados para estados, roles, tipos de documento y tipos de movimiento.</w:t>
            </w:r>
          </w:p>
        </w:tc>
      </w:tr>
      <w:tr>
        <w:tc>
          <w:tcPr>
            <w:tcW w:type="dxa" w:w="4968"/>
            <w:vAlign w:val="center"/>
          </w:tcPr>
          <w:p>
            <w:pPr>
              <w:spacing w:after="20"/>
            </w:pPr>
            <w:r/>
            <w:r>
              <w:rPr>
                <w:rFonts w:ascii="Aptos" w:hAnsi="Aptos"/>
                <w:b/>
                <w:sz w:val="18"/>
              </w:rPr>
              <w:t>Bajas lógicas</w:t>
            </w:r>
          </w:p>
        </w:tc>
        <w:tc>
          <w:tcPr>
            <w:tcW w:type="dxa" w:w="4968"/>
            <w:vAlign w:val="center"/>
          </w:tcPr>
          <w:p>
            <w:pPr>
              <w:spacing w:after="20"/>
            </w:pPr>
            <w:r/>
            <w:r>
              <w:rPr>
                <w:rFonts w:ascii="Aptos" w:hAnsi="Aptos"/>
                <w:b w:val="0"/>
                <w:sz w:val="18"/>
              </w:rPr>
              <w:t>Conservar historial y aplicar las acciones automáticas requeridas al suspender perfiles o desactivar barrios.</w:t>
            </w:r>
          </w:p>
        </w:tc>
      </w:tr>
    </w:tbl>
    <w:p>
      <w:pPr>
        <w:pStyle w:val="Heading1"/>
      </w:pPr>
      <w:r>
        <w:t>6. Reglas que no se resuelven solo con cardinalidades</w:t>
      </w:r>
    </w:p>
    <w:p>
      <w:pPr>
        <w:pStyle w:val="ListBullet"/>
      </w:pPr>
      <w:r>
        <w:t>Un barrio activo debe tener exactamente un Operador; la asignación o reemplazo debe ser atómica (RN-10).</w:t>
      </w:r>
    </w:p>
    <w:p>
      <w:pPr>
        <w:pStyle w:val="ListBullet"/>
      </w:pPr>
      <w:r>
        <w:t>Un Monotributista debe tener exactamente un trabajador propio y no puede agregar otros (RN-07).</w:t>
      </w:r>
    </w:p>
    <w:p>
      <w:pPr>
        <w:pStyle w:val="ListBullet"/>
      </w:pPr>
      <w:r>
        <w:t>Un trabajador no puede tener más de un ingreso activo en el mismo barrio, detectado por DNI incluso entre perfiles diferentes (RN-08).</w:t>
      </w:r>
    </w:p>
    <w:p>
      <w:pPr>
        <w:pStyle w:val="ListBullet"/>
      </w:pPr>
      <w:r>
        <w:t>El ingreso requiere barrio activo, perfil aprobado y no suspendido, habilitación para ese barrio, vínculo no dado de baja y documentación vigente (RF-18, RN-01 a RN-05).</w:t>
      </w:r>
    </w:p>
    <w:p>
      <w:pPr>
        <w:pStyle w:val="ListBullet"/>
      </w:pPr>
      <w:r>
        <w:t>La suspensión de un perfil y la desactivación de un barrio deben cerrar automáticamente los ingresos abiertos y conservar el historial (RF-06, RN-13).</w:t>
      </w:r>
    </w:p>
    <w:p>
      <w:pPr>
        <w:pStyle w:val="ListBullet"/>
      </w:pPr>
      <w:r>
        <w:t>Las consultas deben respetar el aislamiento de datos entre perfiles y barrios (RF-23, RF-24, RNF-06, RNF-07).</w:t>
      </w:r>
    </w:p>
    <w:p>
      <w:pPr>
        <w:pStyle w:val="Heading1"/>
      </w:pPr>
      <w:r>
        <w:t>7. Conclusión</w:t>
      </w:r>
    </w:p>
    <w:p>
      <w:r>
        <w:t>El DER propuesto es una base válida para el MVP y sus cardinalidades principales son correctas. No se recomienda cambiar la estructura general. Antes de implementarlo, se deben precisar la relación entre ingresos y egresos, las restricciones de unicidad de documentos y datos fiscales, la relación opcional Guardia–Movimiento y las reglas que dependen del estado de las entidades. Las condiciones de negocio más complejas deberán implementarse mediante validaciones en servicios, restricciones de base de datos y transacciones, según corresponda.</w:t>
      </w:r>
    </w:p>
    <w:p>
      <w:pPr>
        <w:pStyle w:val="Heading1"/>
      </w:pPr>
      <w:r>
        <w:t>8. Referencias internas</w:t>
      </w:r>
    </w:p>
    <w:p>
      <w:r>
        <w:t>Requisitos funcionales RF-01 a RF-34; requisitos de informes RI-01 a RI-04; requisitos no funcionales RNF-01 a RNF-10; reglas de negocio RN-01 a RN-14, según la especificación compartida para el proyecto.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Documento de análisis del modelo de datos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PROYECTO DE GESTIÓN DOCUMENTAL Y CONTROL DE ACCESOS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F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