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color w:val="2C5F8A"/>
          <w:sz w:val="56"/>
          <w:szCs w:val="56"/>
        </w:rPr>
        <w:t xml:space="preserve">SENTINEL</w:t>
      </w:r>
    </w:p>
    <w:p>
      <w:pPr>
        <w:spacing w:after="100"/>
        <w:jc w:val="center"/>
      </w:pPr>
      <w:r>
        <w:rPr>
          <w:rFonts w:ascii="Times New Roman" w:cs="Times New Roman" w:eastAsia="Times New Roman" w:hAnsi="Times New Roman"/>
          <w:color w:val="444444"/>
          <w:sz w:val="32"/>
          <w:szCs w:val="32"/>
        </w:rPr>
        <w:t xml:space="preserve">Passive RF Drone Detection System</w:t>
      </w:r>
    </w:p>
    <w:p>
      <w:pPr>
        <w:spacing w:after="60"/>
        <w:jc w:val="center"/>
      </w:pPr>
      <w:r>
        <w:rPr>
          <w:rFonts w:ascii="Times New Roman" w:cs="Times New Roman" w:eastAsia="Times New Roman" w:hAnsi="Times New Roman"/>
          <w:i/>
          <w:iCs/>
          <w:color w:val="666666"/>
          <w:sz w:val="22"/>
          <w:szCs w:val="22"/>
        </w:rPr>
        <w:t xml:space="preserve">2.4 GHz | Dual-Channel SDR | Directional Bearing Estimation</w:t>
      </w:r>
    </w:p>
    <w:p>
      <w:pPr>
        <w:pBdr>
          <w:bottom w:val="single" w:color="2C5F8A" w:sz="6" w:space="1"/>
        </w:pBdr>
        <w:spacing w:before="200"/>
        <w:jc w:val="center"/>
      </w:pPr>
    </w:p>
    <w:p>
      <w:pPr>
        <w:spacing w:before="600"/>
      </w:pPr>
    </w:p>
    <w:p>
      <w:pPr>
        <w:spacing w:after="200"/>
        <w:jc w:val="center"/>
      </w:pPr>
      <w:r>
        <w:rPr>
          <w:rFonts w:ascii="Times New Roman" w:cs="Times New Roman" w:eastAsia="Times New Roman" w:hAnsi="Times New Roman"/>
          <w:b/>
          <w:bCs/>
          <w:sz w:val="28"/>
          <w:szCs w:val="28"/>
        </w:rPr>
        <w:t xml:space="preserve">Senior Design Progress Report</w:t>
      </w:r>
    </w:p>
    <w:p>
      <w:pPr>
        <w:spacing w:after="100"/>
        <w:jc w:val="center"/>
      </w:pPr>
      <w:r>
        <w:rPr>
          <w:rFonts w:ascii="Times New Roman" w:cs="Times New Roman" w:eastAsia="Times New Roman" w:hAnsi="Times New Roman"/>
          <w:sz w:val="24"/>
          <w:szCs w:val="24"/>
        </w:rPr>
        <w:t xml:space="preserve">MET 422 — Senior Design Project II, Section 001</w:t>
      </w:r>
    </w:p>
    <w:p>
      <w:pPr>
        <w:spacing w:before="400"/>
      </w:pPr>
    </w:p>
    <w:p>
      <w:pPr>
        <w:spacing w:after="60"/>
        <w:jc w:val="center"/>
      </w:pPr>
      <w:r>
        <w:rPr>
          <w:rFonts w:ascii="Times New Roman" w:cs="Times New Roman" w:eastAsia="Times New Roman" w:hAnsi="Times New Roman"/>
          <w:b/>
          <w:bCs/>
          <w:sz w:val="22"/>
          <w:szCs w:val="22"/>
        </w:rPr>
        <w:t xml:space="preserve">Team Members:</w:t>
      </w:r>
    </w:p>
    <w:p>
      <w:pPr>
        <w:spacing w:after="40"/>
        <w:jc w:val="center"/>
      </w:pPr>
      <w:r>
        <w:rPr>
          <w:rFonts w:ascii="Times New Roman" w:cs="Times New Roman" w:eastAsia="Times New Roman" w:hAnsi="Times New Roman"/>
          <w:sz w:val="22"/>
          <w:szCs w:val="22"/>
        </w:rPr>
        <w:t xml:space="preserve">Sean Schumacher</w:t>
      </w:r>
    </w:p>
    <w:p>
      <w:pPr>
        <w:spacing w:after="40"/>
        <w:jc w:val="center"/>
      </w:pPr>
      <w:r>
        <w:rPr>
          <w:rFonts w:ascii="Times New Roman" w:cs="Times New Roman" w:eastAsia="Times New Roman" w:hAnsi="Times New Roman"/>
          <w:color w:val="FF0000"/>
          <w:sz w:val="22"/>
          <w:szCs w:val="22"/>
        </w:rPr>
        <w:t xml:space="preserve">[Team Member 2]</w:t>
      </w:r>
    </w:p>
    <w:p>
      <w:pPr>
        <w:spacing w:after="40"/>
        <w:jc w:val="center"/>
      </w:pPr>
      <w:r>
        <w:rPr>
          <w:rFonts w:ascii="Times New Roman" w:cs="Times New Roman" w:eastAsia="Times New Roman" w:hAnsi="Times New Roman"/>
          <w:color w:val="FF0000"/>
          <w:sz w:val="22"/>
          <w:szCs w:val="22"/>
        </w:rPr>
        <w:t xml:space="preserve">[Team Member 3]</w:t>
      </w:r>
    </w:p>
    <w:p>
      <w:pPr>
        <w:spacing w:after="40"/>
        <w:jc w:val="center"/>
      </w:pPr>
      <w:r>
        <w:rPr>
          <w:rFonts w:ascii="Times New Roman" w:cs="Times New Roman" w:eastAsia="Times New Roman" w:hAnsi="Times New Roman"/>
          <w:color w:val="FF0000"/>
          <w:sz w:val="22"/>
          <w:szCs w:val="22"/>
        </w:rPr>
        <w:t xml:space="preserve">[Team Member 4]</w:t>
      </w:r>
    </w:p>
    <w:p>
      <w:pPr>
        <w:spacing w:before="300"/>
      </w:pPr>
    </w:p>
    <w:p>
      <w:pPr>
        <w:spacing w:after="60"/>
        <w:jc w:val="center"/>
      </w:pPr>
      <w:r>
        <w:rPr>
          <w:rFonts w:ascii="Times New Roman" w:cs="Times New Roman" w:eastAsia="Times New Roman" w:hAnsi="Times New Roman"/>
          <w:b/>
          <w:bCs/>
          <w:sz w:val="22"/>
          <w:szCs w:val="22"/>
        </w:rPr>
        <w:t xml:space="preserve">Advisor(s):</w:t>
      </w:r>
    </w:p>
    <w:p>
      <w:pPr>
        <w:spacing w:after="40"/>
        <w:jc w:val="center"/>
      </w:pPr>
      <w:r>
        <w:rPr>
          <w:rFonts w:ascii="Times New Roman" w:cs="Times New Roman" w:eastAsia="Times New Roman" w:hAnsi="Times New Roman"/>
          <w:color w:val="FF0000"/>
          <w:sz w:val="22"/>
          <w:szCs w:val="22"/>
        </w:rPr>
        <w:t xml:space="preserve">[Advisor Name]</w:t>
      </w:r>
    </w:p>
    <w:p>
      <w:pPr>
        <w:spacing w:before="400"/>
      </w:pPr>
    </w:p>
    <w:p>
      <w:pPr>
        <w:jc w:val="center"/>
      </w:pPr>
      <w:r>
        <w:rPr>
          <w:rFonts w:ascii="Times New Roman" w:cs="Times New Roman" w:eastAsia="Times New Roman" w:hAnsi="Times New Roman"/>
          <w:sz w:val="24"/>
          <w:szCs w:val="24"/>
        </w:rPr>
        <w:t xml:space="preserve">Spring 2026</w:t>
      </w:r>
    </w:p>
    <w:p>
      <w:pPr>
        <w:sectPr>
          <w:pgSz w:w="12240" w:h="15840" w:orient="portrait"/>
          <w:pgMar w:top="1440" w:right="1440" w:bottom="1440" w:left="1440" w:header="708" w:footer="708" w:gutter="0"/>
          <w:pgNumType/>
          <w:docGrid w:linePitch="360"/>
        </w:sectPr>
      </w:pPr>
    </w:p>
    <w:p>
      <w:pPr>
        <w:pStyle w:val="Heading1"/>
      </w:pPr>
      <w:r>
        <w:t xml:space="preserve">Abstract</w:t>
      </w:r>
    </w:p>
    <w:p>
      <w:pPr>
        <w:spacing w:after="120" w:line="276"/>
      </w:pPr>
      <w:r>
        <w:rPr>
          <w:rFonts w:ascii="Times New Roman" w:cs="Times New Roman" w:eastAsia="Times New Roman" w:hAnsi="Times New Roman"/>
          <w:sz w:val="22"/>
          <w:szCs w:val="22"/>
        </w:rPr>
        <w:t xml:space="preserve">SENTINEL is a passive radio frequency (RF) drone detection system designed to detect, identify, and localize consumer unmanned aerial systems (UAS) operating in the 2.4 GHz ISM band. Unlike active radar systems that emit detectable energy, SENTINEL operates in a completely passive mode, receiving only the RF emissions generated by drones during normal flight operations. The system employs a dual-channel software-defined radio (SDR) architecture built around the Ettus Research USRP B210, which provides simultaneous MIMO reception at 30.72 MSPS per channel. An omnidirectional antenna on the first receive channel serves as an energy tripwire, detecting the presence of new RF activity in the band, while a high-gain Yagi directional antenna on the second channel performs precision detection via Cell-Averaging Constant False Alarm Rate (CA-CFAR) processing and provides bearing estimation through angle-of-arrival (AoA) measurements.</w:t>
      </w:r>
    </w:p>
    <w:p>
      <w:pPr>
        <w:spacing w:after="120" w:line="276"/>
      </w:pPr>
      <w:r>
        <w:rPr>
          <w:rFonts w:ascii="Times New Roman" w:cs="Times New Roman" w:eastAsia="Times New Roman" w:hAnsi="Times New Roman"/>
          <w:sz w:val="22"/>
          <w:szCs w:val="22"/>
        </w:rPr>
        <w:t xml:space="preserve">The signal processing pipeline is implemented in Python using an asynchronous architecture, performing real-time Power Spectral Density (PSD) estimation via Welch’s method, adaptive noise floor tracking, and protocol-specific packet decoding for FAA Remote ID (ASTM F3411) and DJI DroneID broadcasts. Link budget analysis demonstrates a theoretical detection margin exceeding 47 dB at the target range of 200 yards (183 m) for DJI OcuSync transmissions, confirming the feasibility of the design. Phase 1 development has been completed, delivering a fully operational detection pipeline with synthetic signal validation, a comprehensive unit test suite, and a configurable system architecture. Preliminary results indicate reliable detection of synthetic drone signals with signal-to-noise ratios above 10 dB and false positive rates below one event per ten minutes of continuous monitoring.</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Introduction</w:t>
      </w:r>
    </w:p>
    <w:p>
      <w:pPr>
        <w:pStyle w:val="Heading2"/>
      </w:pPr>
      <w:r>
        <w:t xml:space="preserve">1.1 Background</w:t>
      </w:r>
    </w:p>
    <w:p>
      <w:pPr>
        <w:spacing w:after="120" w:line="276"/>
      </w:pPr>
      <w:r>
        <w:rPr>
          <w:rFonts w:ascii="Times New Roman" w:cs="Times New Roman" w:eastAsia="Times New Roman" w:hAnsi="Times New Roman"/>
          <w:sz w:val="22"/>
          <w:szCs w:val="22"/>
        </w:rPr>
        <w:t xml:space="preserve">The proliferation of consumer drones has created significant security, privacy, and safety concerns across commercial, governmental, and residential domains. The Federal Aviation Administration (FAA) reported over 1.1 million registered drones in the United States as of 2025, with incidents involving unauthorized drone flights near airports, critical infrastructure, and public events increasing year over year. Existing counter-drone solutions typically rely on active radar systems, which are expensive ($50,000+), emit detectable RF energy, and require regulatory approval to operate. There is a clear need for a low-cost, passive detection system that can identify drone presence without revealing its own position.</w:t>
      </w:r>
    </w:p>
    <w:p>
      <w:pPr>
        <w:pStyle w:val="Heading2"/>
      </w:pPr>
      <w:r>
        <w:t xml:space="preserve">1.2 Stakeholders and Needs</w:t>
      </w:r>
    </w:p>
    <w:p>
      <w:pPr>
        <w:spacing w:after="120" w:line="276"/>
      </w:pPr>
      <w:r>
        <w:rPr>
          <w:rFonts w:ascii="Times New Roman" w:cs="Times New Roman" w:eastAsia="Times New Roman" w:hAnsi="Times New Roman"/>
          <w:sz w:val="22"/>
          <w:szCs w:val="22"/>
        </w:rPr>
        <w:t xml:space="preserve">The primary stakeholders for SENTINEL include facility security managers, law enforcement agencies, event security coordinators, and critical infrastructure operators. These stakeholders require a system that can detect unauthorized drones at ranges sufficient to provide actionable warning time (200+ yards), identify the drone type and operator position when available, and operate continuously without generating interference. Additionally, the system must be affordable enough for widespread deployment and simple enough for operation by non-RF-specialist personnel.</w:t>
      </w:r>
    </w:p>
    <w:p>
      <w:pPr>
        <w:pStyle w:val="Heading2"/>
      </w:pPr>
      <w:r>
        <w:t xml:space="preserve">1.3 Problem Statement</w:t>
      </w:r>
    </w:p>
    <w:p>
      <w:pPr>
        <w:spacing w:after="120" w:line="276"/>
      </w:pPr>
      <w:r>
        <w:rPr>
          <w:rFonts w:ascii="Times New Roman" w:cs="Times New Roman" w:eastAsia="Times New Roman" w:hAnsi="Times New Roman"/>
          <w:sz w:val="22"/>
          <w:szCs w:val="22"/>
        </w:rPr>
        <w:t xml:space="preserve">Design and implement a passive RF drone detection system capable of detecting, classifying, and estimating the bearing of consumer drones operating at 2.4 GHz, achieving a minimum detection range of 200 yards in open-sky conditions, bearing accuracy of ±5° at 100 meters, false positive rate below one per ten minutes, and detection latency under two seconds. The system must operate without transmitting any RF energy and must be constructable within a senior design project budget.</w:t>
      </w:r>
    </w:p>
    <w:p>
      <w:pPr>
        <w:pStyle w:val="Heading2"/>
      </w:pPr>
      <w:r>
        <w:t xml:space="preserve">1.4 Project Objectives</w:t>
      </w:r>
    </w:p>
    <w:p>
      <w:pPr>
        <w:pStyle w:val="ListParagraph"/>
        <w:numPr>
          <w:ilvl w:val="0"/>
          <w:numId w:val="2"/>
        </w:numPr>
        <w:spacing w:after="60" w:line="276"/>
      </w:pPr>
      <w:r>
        <w:rPr>
          <w:rFonts w:ascii="Times New Roman" w:cs="Times New Roman" w:eastAsia="Times New Roman" w:hAnsi="Times New Roman"/>
          <w:sz w:val="22"/>
          <w:szCs w:val="22"/>
        </w:rPr>
        <w:t xml:space="preserve">Develop a dual-channel SDR receiver architecture using the USRP B210 for simultaneous omnidirectional and directional reception at 2.4 GHz.</w:t>
      </w:r>
    </w:p>
    <w:p>
      <w:pPr>
        <w:pStyle w:val="ListParagraph"/>
        <w:numPr>
          <w:ilvl w:val="0"/>
          <w:numId w:val="2"/>
        </w:numPr>
        <w:spacing w:after="60" w:line="276"/>
      </w:pPr>
      <w:r>
        <w:rPr>
          <w:rFonts w:ascii="Times New Roman" w:cs="Times New Roman" w:eastAsia="Times New Roman" w:hAnsi="Times New Roman"/>
          <w:sz w:val="22"/>
          <w:szCs w:val="22"/>
        </w:rPr>
        <w:t xml:space="preserve">Implement real-time signal processing algorithms including Welch PSD estimation, adaptive energy detection, and CA-CFAR threshold detection.</w:t>
      </w:r>
    </w:p>
    <w:p>
      <w:pPr>
        <w:pStyle w:val="ListParagraph"/>
        <w:numPr>
          <w:ilvl w:val="0"/>
          <w:numId w:val="2"/>
        </w:numPr>
        <w:spacing w:after="60" w:line="276"/>
      </w:pPr>
      <w:r>
        <w:rPr>
          <w:rFonts w:ascii="Times New Roman" w:cs="Times New Roman" w:eastAsia="Times New Roman" w:hAnsi="Times New Roman"/>
          <w:sz w:val="22"/>
          <w:szCs w:val="22"/>
        </w:rPr>
        <w:t xml:space="preserve">Integrate protocol-specific decoders for FAA Remote ID (ASTM F3411) and DJI DroneID to extract drone identity and position data.</w:t>
      </w:r>
    </w:p>
    <w:p>
      <w:pPr>
        <w:pStyle w:val="ListParagraph"/>
        <w:numPr>
          <w:ilvl w:val="0"/>
          <w:numId w:val="2"/>
        </w:numPr>
        <w:spacing w:after="60" w:line="276"/>
      </w:pPr>
      <w:r>
        <w:rPr>
          <w:rFonts w:ascii="Times New Roman" w:cs="Times New Roman" w:eastAsia="Times New Roman" w:hAnsi="Times New Roman"/>
          <w:sz w:val="22"/>
          <w:szCs w:val="22"/>
        </w:rPr>
        <w:t xml:space="preserve">Design a mechanically steered directional antenna system with automated scan, cue, and track modes for bearing estimation.</w:t>
      </w:r>
    </w:p>
    <w:p>
      <w:pPr>
        <w:pStyle w:val="ListParagraph"/>
        <w:numPr>
          <w:ilvl w:val="0"/>
          <w:numId w:val="2"/>
        </w:numPr>
        <w:spacing w:after="60" w:line="276"/>
      </w:pPr>
      <w:r>
        <w:rPr>
          <w:rFonts w:ascii="Times New Roman" w:cs="Times New Roman" w:eastAsia="Times New Roman" w:hAnsi="Times New Roman"/>
          <w:sz w:val="22"/>
          <w:szCs w:val="22"/>
        </w:rPr>
        <w:t xml:space="preserve">Validate system performance against quantitative pass criteria through bench testing and field trials.</w:t>
      </w:r>
    </w:p>
    <w:p>
      <w:r>
        <w:br w:type="page"/>
      </w:r>
    </w:p>
    <w:p>
      <w:pPr>
        <w:pStyle w:val="Heading1"/>
      </w:pPr>
      <w:r>
        <w:t xml:space="preserve">2. System Design and Specifications</w:t>
      </w:r>
    </w:p>
    <w:p>
      <w:pPr>
        <w:pStyle w:val="Heading2"/>
      </w:pPr>
      <w:r>
        <w:t xml:space="preserve">2.1 System Overview</w:t>
      </w:r>
    </w:p>
    <w:p>
      <w:pPr>
        <w:spacing w:after="120" w:line="276"/>
      </w:pPr>
      <w:r>
        <w:rPr>
          <w:rFonts w:ascii="Times New Roman" w:cs="Times New Roman" w:eastAsia="Times New Roman" w:hAnsi="Times New Roman"/>
          <w:sz w:val="22"/>
          <w:szCs w:val="22"/>
        </w:rPr>
        <w:t xml:space="preserve">SENTINEL employs a layered detection architecture organized around a dual-channel software-defined radio. The system receives drone RF emissions through two antenna paths: an omnidirectional channel provides 360-degree awareness and acts as an energy tripwire, while a mechanically steered directional Yagi antenna provides gain, bearing context, and precision detection through CA-CFAR processing. Both channels feed into a USRP B210 SDR, which digitizes the signals at 30.72 MSPS per channel and streams IQ data to a host computer via USB 3.0. The host runs the Python-based DSP pipeline in an asynchronous architecture, performing detection, classification, and antenna control in real time.</w:t>
      </w:r>
    </w:p>
    <w:p>
      <w:pPr>
        <w:jc w:val="center"/>
      </w:pPr>
      <w:r>
        <w:drawing>
          <wp:inline distT="0" distB="0" distL="0" distR="0">
            <wp:extent cx="3781425" cy="5334000"/>
            <wp:effectExtent t="0" r="0" b="0" l="0"/>
            <wp:docPr id="1" name="fig1_system_architecture.png" descr="fig1_system_architecture.png" title="fig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81425" cy="5334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1: SENTINEL system architecture showing the dual-channel receive path from antennas through the RF front end, SDR, DSP pipeline, and user interface.</w:t>
      </w:r>
    </w:p>
    <w:p>
      <w:pPr>
        <w:pStyle w:val="Heading2"/>
      </w:pPr>
      <w:r>
        <w:t xml:space="preserve">2.2 Function Decomposition</w:t>
      </w:r>
    </w:p>
    <w:p>
      <w:pPr>
        <w:spacing w:after="120" w:line="276"/>
      </w:pPr>
      <w:r>
        <w:rPr>
          <w:rFonts w:ascii="Times New Roman" w:cs="Times New Roman" w:eastAsia="Times New Roman" w:hAnsi="Times New Roman"/>
          <w:sz w:val="22"/>
          <w:szCs w:val="22"/>
        </w:rPr>
        <w:t xml:space="preserve">The system is decomposed into five primary functional subsystems: RF signal reception, signal processing, detection and classification, tracking and antenna control, and user interface and data logging. Each subsystem is implemented as an independent Python module with well-defined interfaces, enabling unit testing and incremental development.</w:t>
      </w:r>
    </w:p>
    <w:p>
      <w:pPr>
        <w:jc w:val="center"/>
      </w:pPr>
      <w:r>
        <w:drawing>
          <wp:inline distT="0" distB="0" distL="0" distR="0">
            <wp:extent cx="5334000" cy="4629150"/>
            <wp:effectExtent t="0" r="0" b="0" l="0"/>
            <wp:docPr id="1" name="fig4_function_decomposition.png" descr="fig4_function_decomposition.png" title="fig4_function_de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291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 System function decomposition tree showing the five primary subsystems and their constituent functions.</w:t>
      </w:r>
    </w:p>
    <w:p>
      <w:pPr>
        <w:pStyle w:val="Heading2"/>
      </w:pPr>
      <w:r>
        <w:t xml:space="preserve">2.3 Target Signal Specifications</w:t>
      </w:r>
    </w:p>
    <w:p>
      <w:pPr>
        <w:spacing w:after="120" w:line="276"/>
      </w:pPr>
      <w:r>
        <w:rPr>
          <w:rFonts w:ascii="Times New Roman" w:cs="Times New Roman" w:eastAsia="Times New Roman" w:hAnsi="Times New Roman"/>
          <w:sz w:val="22"/>
          <w:szCs w:val="22"/>
        </w:rPr>
        <w:t xml:space="preserve">Table 1 summarizes the key RF characteristics of the target drone protocols operating in the 2.4 GHz ISM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2960"/>
      </w:tblGrid>
      <w:tr>
        <w:tc>
          <w:tcPr>
            <w:tcW w:type="dxa" w:w="220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Protocol</w:t>
            </w:r>
          </w:p>
        </w:tc>
        <w:tc>
          <w:tcPr>
            <w:tcW w:type="dxa" w:w="150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Frequency</w:t>
            </w:r>
          </w:p>
        </w:tc>
        <w:tc>
          <w:tcPr>
            <w:tcW w:type="dxa" w:w="150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Bandwidth</w:t>
            </w:r>
          </w:p>
        </w:tc>
        <w:tc>
          <w:tcPr>
            <w:tcW w:type="dxa" w:w="120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EIRP</w:t>
            </w:r>
          </w:p>
        </w:tc>
        <w:tc>
          <w:tcPr>
            <w:tcW w:type="dxa" w:w="296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Key Characteristic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DJI OcuSync 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2.4 GHz</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 MHz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+23 dBm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OFDM, FHSS, DroneID every 600ms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WiFi (802.11)</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2.4 GHz</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20/40 MHz</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+20 dBm</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Beacon frames, OUI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FAA Remote 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2.437 GHz</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20 MHz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+20 dBm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WiFi beacon, 1 sec interval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ExpressLRS</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2.4 GHz</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~500 kHz</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+27 dBm</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LoRa chirp, fast FHSS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FrSky ACCST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2.4 GHz</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 MHz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+20 dBm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47-channel FHSS, 9ms dwell</w:t>
            </w:r>
          </w:p>
        </w:tc>
      </w:tr>
    </w:tbl>
    <w:p>
      <w:pPr>
        <w:spacing w:after="200" w:before="60"/>
        <w:jc w:val="center"/>
      </w:pPr>
      <w:r>
        <w:rPr>
          <w:rFonts w:ascii="Times New Roman" w:cs="Times New Roman" w:eastAsia="Times New Roman" w:hAnsi="Times New Roman"/>
          <w:i/>
          <w:iCs/>
          <w:sz w:val="20"/>
          <w:szCs w:val="20"/>
        </w:rPr>
        <w:t xml:space="preserve">Table 1: Target drone protocol specifications at 2.4 GHz.</w:t>
      </w:r>
    </w:p>
    <w:p>
      <w:pPr>
        <w:pStyle w:val="Heading2"/>
      </w:pPr>
      <w:r>
        <w:t xml:space="preserve">2.4 Hardware Specifications</w:t>
      </w:r>
    </w:p>
    <w:p>
      <w:pPr>
        <w:pStyle w:val="Heading3"/>
      </w:pPr>
      <w:r>
        <w:t xml:space="preserve">2.4.1 USRP B210 Software-Defined Radio</w:t>
      </w:r>
    </w:p>
    <w:p>
      <w:pPr>
        <w:spacing w:after="120" w:line="276"/>
      </w:pPr>
      <w:r>
        <w:rPr>
          <w:rFonts w:ascii="Times New Roman" w:cs="Times New Roman" w:eastAsia="Times New Roman" w:hAnsi="Times New Roman"/>
          <w:sz w:val="22"/>
          <w:szCs w:val="22"/>
        </w:rPr>
        <w:t xml:space="preserve">The Ettus Research USRP B210 serves as the primary SDR platform. It features an Analog Devices AD9361 RFIC providing two fully coherent MIMO receive channels covering 70 MHz to 6 GHz. In MIMO mode, each channel supports 30.72 MSPS with 30 MHz instantaneous bandwidth, digitized at 12-bit resolution. The device connects to the host computer via USB 3.0 and is controlled through the UHD (USRP Hardware Driver) Python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RFIC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Analog Devices AD9361</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RX Channels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 (simultaneous MIMO)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Frequency Range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70 MHz – 6 GHz</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MIMO Bandwidth</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30.72 MHz per channel (30.72 MSPS)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ADC Resolution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12-bit</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Interface</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USB 3.0 SuperSpeed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Noise Figure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&lt; 8 dB (internal, no external LNA)</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Max RX Input</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-15 dBm</w:t>
            </w:r>
          </w:p>
        </w:tc>
      </w:tr>
    </w:tbl>
    <w:p>
      <w:pPr>
        <w:spacing w:after="200" w:before="60"/>
        <w:jc w:val="center"/>
      </w:pPr>
      <w:r>
        <w:rPr>
          <w:rFonts w:ascii="Times New Roman" w:cs="Times New Roman" w:eastAsia="Times New Roman" w:hAnsi="Times New Roman"/>
          <w:i/>
          <w:iCs/>
          <w:sz w:val="20"/>
          <w:szCs w:val="20"/>
        </w:rPr>
        <w:t xml:space="preserve">Table 2: USRP B210 key specifications.</w:t>
      </w:r>
    </w:p>
    <w:p>
      <w:pPr>
        <w:pStyle w:val="Heading3"/>
      </w:pPr>
      <w:r>
        <w:t xml:space="preserve">2.4.2 Antenna System</w:t>
      </w:r>
    </w:p>
    <w:p>
      <w:pPr>
        <w:spacing w:after="120" w:line="276"/>
      </w:pPr>
      <w:r>
        <w:rPr>
          <w:rFonts w:ascii="Times New Roman" w:cs="Times New Roman" w:eastAsia="Times New Roman" w:hAnsi="Times New Roman"/>
          <w:sz w:val="22"/>
          <w:szCs w:val="22"/>
        </w:rPr>
        <w:t xml:space="preserve">The antenna subsystem consists of a 12-element Yagi-Uda directional antenna (12 dBi gain, approximately 35° 3 dB beamwidth) mounted on the SPS-500 two-axis precision positioning system (provided by Honeywell) for 360° continuous azimuth rotation and −15° to +90° elevation, and a fixed vertical dipole omnidirectional antenna (2 dBi gain) for all-around presence detection. Both antennas operate at 2.4 GHz. The Yagi is currently a PCB Yagi (ASIN B0BWM9X2HJ) for testing, with a planned upgrade to the L-com HG2415Y-RSP (15 dBi, 30° beamwidth) for the final system. The SPS-500 communicates with the host computer via RS-422 serial protocol, providing 0.01° angular resolution and real-time encoder position feedback (see Section 4.2 for details).</w:t>
      </w:r>
    </w:p>
    <w:p>
      <w:pPr>
        <w:pStyle w:val="Heading3"/>
      </w:pPr>
      <w:r>
        <w:t xml:space="preserve">2.4.3 RF Front End</w:t>
      </w:r>
    </w:p>
    <w:p>
      <w:pPr>
        <w:spacing w:after="120" w:line="276"/>
      </w:pPr>
      <w:r>
        <w:rPr>
          <w:rFonts w:ascii="Times New Roman" w:cs="Times New Roman" w:eastAsia="Times New Roman" w:hAnsi="Times New Roman"/>
          <w:sz w:val="22"/>
          <w:szCs w:val="22"/>
        </w:rPr>
        <w:t xml:space="preserve">An external bandpass filter and low-noise amplifier (BPF+LNA) module is placed between each antenna and the B210 receive port. The LNA provides approximately 20 dB of gain with a noise figure below 1.5 dB, which dramatically improves the system noise figure from 8 dB (B210 alone) to approximately 1.57 dB (cascaded). The BPF limits the passband to 2.400–2.500 GHz, providing greater than 40 dB rejection of out-of-band signals to prevent intermodulation and ADC saturation from strong nearby transmitters.</w:t>
      </w:r>
    </w:p>
    <w:p>
      <w:r>
        <w:br w:type="page"/>
      </w:r>
    </w:p>
    <w:p>
      <w:pPr>
        <w:pStyle w:val="Heading1"/>
      </w:pPr>
      <w:r>
        <w:t xml:space="preserve">3. Concept Generation and Selection</w:t>
      </w:r>
    </w:p>
    <w:p>
      <w:pPr>
        <w:pStyle w:val="Heading2"/>
      </w:pPr>
      <w:r>
        <w:t xml:space="preserve">3.1 SDR Platform Selection</w:t>
      </w:r>
    </w:p>
    <w:p>
      <w:pPr>
        <w:spacing w:after="120" w:line="276"/>
      </w:pPr>
      <w:r>
        <w:rPr>
          <w:rFonts w:ascii="Times New Roman" w:cs="Times New Roman" w:eastAsia="Times New Roman" w:hAnsi="Times New Roman"/>
          <w:sz w:val="22"/>
          <w:szCs w:val="22"/>
        </w:rPr>
        <w:t xml:space="preserve">Three SDR platforms were evaluated for the SENTINEL receiver: the Ettus USRP B210, the HackRF One, and the RTL-SDR V3. The primary selection criteria were simultaneous dual-channel MIMO capability (required for the dual-antenna architecture), instantaneous bandwidth (minimum 20 MHz for WiFi capture), dynamic range (sufficient for crowded 2.4 GHz environment), and software ecosystem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Criterion</w:t>
            </w:r>
          </w:p>
        </w:tc>
        <w:tc>
          <w:tcPr>
            <w:tcW w:type="dxa" w:w="1755"/>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Weight</w:t>
            </w:r>
          </w:p>
        </w:tc>
        <w:tc>
          <w:tcPr>
            <w:tcW w:type="dxa" w:w="1755"/>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USRP B210</w:t>
            </w:r>
          </w:p>
        </w:tc>
        <w:tc>
          <w:tcPr>
            <w:tcW w:type="dxa" w:w="1755"/>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HackRF One</w:t>
            </w:r>
          </w:p>
        </w:tc>
        <w:tc>
          <w:tcPr>
            <w:tcW w:type="dxa" w:w="1755"/>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RTL-SDR V3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Dual-channel MIMO</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(native)</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(single)</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(single)</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Bandwidth (MIMO)</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4</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 (30 MHz)</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 (20 MHz)</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 (2.4 MHz)</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Dynamic Range</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4</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(12-bit)</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 (8-bit)</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 (8-bit)</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Software Ecosystem</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3</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 (UHD)</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Cost</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($1,500)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($300)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($30)</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TOTAL (weighted)</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+14 (Selected)</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175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-8</w:t>
            </w:r>
          </w:p>
        </w:tc>
      </w:tr>
    </w:tbl>
    <w:p>
      <w:pPr>
        <w:spacing w:after="200" w:before="60"/>
        <w:jc w:val="center"/>
      </w:pPr>
      <w:r>
        <w:rPr>
          <w:rFonts w:ascii="Times New Roman" w:cs="Times New Roman" w:eastAsia="Times New Roman" w:hAnsi="Times New Roman"/>
          <w:i/>
          <w:iCs/>
          <w:sz w:val="20"/>
          <w:szCs w:val="20"/>
        </w:rPr>
        <w:t xml:space="preserve">Table 3: SDR platform Pugh selection matrix. Scoring: + (better than baseline), S (same), - (worse).</w:t>
      </w:r>
    </w:p>
    <w:p>
      <w:pPr>
        <w:spacing w:after="120" w:line="276"/>
      </w:pPr>
      <w:r>
        <w:rPr>
          <w:rFonts w:ascii="Times New Roman" w:cs="Times New Roman" w:eastAsia="Times New Roman" w:hAnsi="Times New Roman"/>
          <w:sz w:val="22"/>
          <w:szCs w:val="22"/>
        </w:rPr>
        <w:t xml:space="preserve">The USRP B210 was selected despite its higher cost because it is the only platform offering native dual-channel MIMO, which is fundamental to the simultaneous omni-tripwire and yagi-precision detection architecture.</w:t>
      </w:r>
    </w:p>
    <w:p>
      <w:pPr>
        <w:pStyle w:val="Heading2"/>
      </w:pPr>
      <w:r>
        <w:t xml:space="preserve">3.2 Detection Algorithm Selection</w:t>
      </w:r>
    </w:p>
    <w:p>
      <w:pPr>
        <w:spacing w:after="120" w:line="276"/>
      </w:pPr>
      <w:r>
        <w:rPr>
          <w:rFonts w:ascii="Times New Roman" w:cs="Times New Roman" w:eastAsia="Times New Roman" w:hAnsi="Times New Roman"/>
          <w:sz w:val="22"/>
          <w:szCs w:val="22"/>
        </w:rPr>
        <w:t xml:space="preserve">Two detection approaches were evaluated for the directional channel: fixed-threshold energy detection and Cell-Averaging CFAR (CA-CFAR). Fixed-threshold detection is simpler but fails in dynamic RF environments where the noise floor changes due to nearby WiFi traffic and environmental conditions. CA-CFAR adapts its threshold based on the local spectral environment, maintaining a constant false alarm probability regardless of background noise variations. CA-CFAR was selected for the Yagi channel due to its robustness in the crowded 2.4 GHz ISM band, with a simpler adaptive energy detector retained for the omnidirectional tripwire channel where coarse presence detection is sufficient.</w:t>
      </w:r>
    </w:p>
    <w:p>
      <w:pPr>
        <w:pStyle w:val="Heading2"/>
      </w:pPr>
      <w:r>
        <w:t xml:space="preserve">3.3 Antenna Configuration Selection</w:t>
      </w:r>
    </w:p>
    <w:p>
      <w:pPr>
        <w:spacing w:after="120" w:line="276"/>
      </w:pPr>
      <w:r>
        <w:rPr>
          <w:rFonts w:ascii="Times New Roman" w:cs="Times New Roman" w:eastAsia="Times New Roman" w:hAnsi="Times New Roman"/>
          <w:sz w:val="22"/>
          <w:szCs w:val="22"/>
        </w:rPr>
        <w:t xml:space="preserve">Three antenna configurations were considered: (1) single omnidirectional antenna, (2) fixed multi-element phased array, and (3) mechanically steered directional antenna with omnidirectional supplemental. Option 1 provides no bearing information. Option 2 offers electronic beam steering but adds significant cost and complexity (multiple synchronized SDR channels, calibration requirements). Option 3 provides bearing estimation with a single directional antenna, supplemented by the omni for all-around cueing. The mechanically steered Yagi with omnidirectional supplemental was selected as the best tradeoff between performance, cost, and implementation complexity for a senior design project scope.</w:t>
      </w:r>
    </w:p>
    <w:p>
      <w:pPr>
        <w:jc w:val="center"/>
      </w:pPr>
      <w:r>
        <w:drawing>
          <wp:inline distT="0" distB="0" distL="0" distR="0">
            <wp:extent cx="4495800" cy="4953000"/>
            <wp:effectExtent t="0" r="0" b="0" l="0"/>
            <wp:docPr id="1" name="fig5_concept_selection.png" descr="fig5_concept_selection.png" title="fig5_concept_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95800" cy="4953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 Pugh concept selection matrix for SDR platform. USRP B210 selected as datum, scoring highest on weighted criteria.</w:t>
      </w:r>
    </w:p>
    <w:p>
      <w:r>
        <w:br w:type="page"/>
      </w:r>
    </w:p>
    <w:p>
      <w:pPr>
        <w:pStyle w:val="Heading1"/>
      </w:pPr>
      <w:r>
        <w:t xml:space="preserve">4. Detailed Design</w:t>
      </w:r>
    </w:p>
    <w:p>
      <w:pPr>
        <w:pStyle w:val="Heading2"/>
      </w:pPr>
      <w:r>
        <w:t xml:space="preserve">4.1 Signal Processing Pipeline</w:t>
      </w:r>
    </w:p>
    <w:p>
      <w:pPr>
        <w:spacing w:after="120" w:line="276"/>
      </w:pPr>
      <w:r>
        <w:rPr>
          <w:rFonts w:ascii="Times New Roman" w:cs="Times New Roman" w:eastAsia="Times New Roman" w:hAnsi="Times New Roman"/>
          <w:sz w:val="22"/>
          <w:szCs w:val="22"/>
        </w:rPr>
        <w:t xml:space="preserve">The DSP pipeline processes IQ samples from both receive channels through a series of stages, from raw sample ingestion through detection, classification, and bearing estimation. The pipeline operates asynchronously using Python’s asyncio framework, ensuring that hardware I/O does not block signal processing.</w:t>
      </w:r>
    </w:p>
    <w:p>
      <w:pPr>
        <w:jc w:val="center"/>
      </w:pPr>
      <w:r>
        <w:drawing>
          <wp:inline distT="0" distB="0" distL="0" distR="0">
            <wp:extent cx="2628900" cy="5334000"/>
            <wp:effectExtent t="0" r="0" b="0" l="0"/>
            <wp:docPr id="1" name="fig2_dsp_pipeline.png" descr="fig2_dsp_pipeline.png" title="fig2_dsp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28900" cy="5334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2: DSP signal processing pipeline showing the dual-path architecture from IQ acquisition through detection and logging.</w:t>
      </w:r>
    </w:p>
    <w:p>
      <w:pPr>
        <w:pStyle w:val="Heading3"/>
      </w:pPr>
      <w:r>
        <w:t xml:space="preserve">4.1.1 PSD Estimation</w:t>
      </w:r>
    </w:p>
    <w:p>
      <w:pPr>
        <w:spacing w:after="120" w:line="276"/>
      </w:pPr>
      <w:r>
        <w:rPr>
          <w:rFonts w:ascii="Times New Roman" w:cs="Times New Roman" w:eastAsia="Times New Roman" w:hAnsi="Times New Roman"/>
          <w:sz w:val="22"/>
          <w:szCs w:val="22"/>
        </w:rPr>
        <w:t xml:space="preserve">Power Spectral Density is computed using Welch’s method with a 2048-point FFT, Hanning window, and 50% overlap. This yields a frequency resolution of approximately 15 kHz (30.72 MHz / 2048) and produces updated PSD estimates every ~67 ms. The Welch method was chosen over a single-frame periodogram because averaging multiple overlapped segments reduces PSD variance, which is critical for reliable threshold-based detection.</w:t>
      </w:r>
    </w:p>
    <w:p>
      <w:pPr>
        <w:pStyle w:val="Heading3"/>
      </w:pPr>
      <w:r>
        <w:t xml:space="preserve">4.1.2 CA-CFAR Detection</w:t>
      </w:r>
    </w:p>
    <w:p>
      <w:pPr>
        <w:spacing w:after="120" w:line="276"/>
      </w:pPr>
      <w:r>
        <w:rPr>
          <w:rFonts w:ascii="Times New Roman" w:cs="Times New Roman" w:eastAsia="Times New Roman" w:hAnsi="Times New Roman"/>
          <w:sz w:val="22"/>
          <w:szCs w:val="22"/>
        </w:rPr>
        <w:t xml:space="preserve">The Yagi channel uses Cell-Averaging CFAR with 4 guard cells and 16 reference cells on each side of the cell under test. The threshold factor is set to 10 dB above the estimated local noise level, which corresponds to a theoretical false alarm probability of approximately 10⁻⁶ under Gaussian noise assumptions. A minimum detection bandwidth filter of 100 kHz rejects single-bin spectral artifacts that do not correspond to real modulated signals.</w:t>
      </w:r>
    </w:p>
    <w:p>
      <w:pPr>
        <w:pStyle w:val="Heading3"/>
      </w:pPr>
      <w:r>
        <w:t xml:space="preserve">4.1.3 Adaptive Tripwire Detection</w:t>
      </w:r>
    </w:p>
    <w:p>
      <w:pPr>
        <w:spacing w:after="120" w:line="276"/>
      </w:pPr>
      <w:r>
        <w:rPr>
          <w:rFonts w:ascii="Times New Roman" w:cs="Times New Roman" w:eastAsia="Times New Roman" w:hAnsi="Times New Roman"/>
          <w:sz w:val="22"/>
          <w:szCs w:val="22"/>
        </w:rPr>
        <w:t xml:space="preserve">The omnidirectional channel uses an exponential moving average (EMA) noise floor estimator with a protected update rule: only frequency bins that are currently below the detection threshold contribute to the noise floor estimate. This prevents persistent strong signals (such as a nearby WiFi access point) from raising the noise floor and masking weaker drone signals. A duration gate requires signals to persist for a minimum of 50 ms across consecutive frames before triggering an alert, rejecting transient impulse noise.</w:t>
      </w:r>
    </w:p>
    <w:p>
      <w:pPr>
        <w:pStyle w:val="Heading2"/>
      </w:pPr>
      <w:r>
        <w:t xml:space="preserve">4.2 Antenna Control System</w:t>
      </w:r>
    </w:p>
    <w:p>
      <w:pPr>
        <w:spacing w:after="120" w:line="276"/>
      </w:pPr>
      <w:r>
        <w:rPr>
          <w:rFonts w:ascii="Times New Roman" w:cs="Times New Roman" w:eastAsia="Times New Roman" w:hAnsi="Times New Roman"/>
          <w:sz w:val="22"/>
          <w:szCs w:val="22"/>
        </w:rPr>
        <w:t xml:space="preserve">The antenna controller implements a four-state machine governing the Yagi antenna’s azimuth position. In SCAN mode, the antenna sweeps continuously at 30°/sec, completing a full revolution in approximately 12 seconds. When the omnidirectional tripwire detects energy, the system transitions to CUE mode, slewing the Yagi toward the estimated azimuth sector. If the Yagi’s CFAR detector confirms a signal, the system enters TRACK mode, oscillating ±15° around the peak bearing for refined angle-of-arrival estimation. If no confirmation occurs within 5 seconds, the system returns to SCAN.</w:t>
      </w:r>
    </w:p>
    <w:p>
      <w:pPr>
        <w:jc w:val="center"/>
      </w:pPr>
      <w:r>
        <w:drawing>
          <wp:inline distT="0" distB="0" distL="0" distR="0">
            <wp:extent cx="3152775" cy="4762500"/>
            <wp:effectExtent t="0" r="0" b="0" l="0"/>
            <wp:docPr id="1" name="fig3_antenna_state_machine.png" descr="fig3_antenna_state_machine.png" title="fig3_antenna_state_ma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52775" cy="4762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3: Antenna control state machine showing IDLE, SCAN, CUE, and TRACK modes with transition conditions.</w:t>
      </w:r>
    </w:p>
    <w:p>
      <w:pPr>
        <w:pStyle w:val="Heading3"/>
      </w:pPr>
      <w:r>
        <w:t xml:space="preserve">4.2.1 SPS-500 Precision Positioning System</w:t>
      </w:r>
    </w:p>
    <w:p>
      <w:pPr>
        <w:spacing w:after="120" w:line="276"/>
      </w:pPr>
      <w:r>
        <w:rPr>
          <w:rFonts w:ascii="Times New Roman" w:cs="Times New Roman" w:eastAsia="Times New Roman" w:hAnsi="Times New Roman"/>
          <w:sz w:val="22"/>
          <w:szCs w:val="22"/>
        </w:rPr>
        <w:t xml:space="preserve">The physical antenna steering is performed by the SPS-500, a two-axis (azimuth and elevation) precision positioning system provided by Honeywell. The SPS-500 provides an angular positioning resolution of 0.01 degrees, a continuous azimuth travel range of 0 to 360 degrees, and an elevation range of −15 to +90 degrees. Angular position feedback from built-in optical encoders is returned to the host in real time, enabling closed-loop position verification independent of the commanded trajectory. The unit’s high angular resolution and mechanical repeatability are essential for the fine-grained antenna steering required during TRACK mode, where the system oscillates ±15° around the peak bearing for refined angle-of-arrival estimation.</w:t>
      </w:r>
    </w:p>
    <w:p>
      <w:pPr>
        <w:spacing w:after="120" w:line="276"/>
      </w:pPr>
      <w:r>
        <w:rPr>
          <w:rFonts w:ascii="Times New Roman" w:cs="Times New Roman" w:eastAsia="Times New Roman" w:hAnsi="Times New Roman"/>
          <w:sz w:val="22"/>
          <w:szCs w:val="22"/>
        </w:rPr>
        <w:t xml:space="preserve">The SPS-500 supports both velocity-based and position-based motion commands, transmitted independently for each axis. Velocity-based commands are used during SCAN mode (constant sweep rate) and TRACK mode (proportional rate control), while position-based commands are used during CUE mode (slew to a specific azimuth sector). A software-enforced velocity saturation limit of 10.0 deg/s prevents mechanical overshoot and protects the antenna feed cable from wrap-around stress during rapid slewing.</w:t>
      </w:r>
    </w:p>
    <w:p>
      <w:pPr>
        <w:pStyle w:val="Heading3"/>
      </w:pPr>
      <w:r>
        <w:t xml:space="preserve">4.2.2 RS-422 Communication Interface</w:t>
      </w:r>
    </w:p>
    <w:p>
      <w:pPr>
        <w:spacing w:after="120" w:line="276"/>
      </w:pPr>
      <w:r>
        <w:rPr>
          <w:rFonts w:ascii="Times New Roman" w:cs="Times New Roman" w:eastAsia="Times New Roman" w:hAnsi="Times New Roman"/>
          <w:sz w:val="22"/>
          <w:szCs w:val="22"/>
        </w:rPr>
        <w:t xml:space="preserve">The interface between the host control computer and the SPS-500 is implemented using the RS-422 (EIA/TIA-422) differential serial communication standard. RS-422 was selected for its noise immunity in electrically noisy environments, its support for cable runs up to 1200 meters per the EIA-422 specification, and its compatibility with the SPS-500’s native command interface. The serial link is configured at 115200 bps, 8 data bits, 1 stop bit, no parity, and no flow control. The host computer interfaces with the RS-422 link via a USB-to-RS422 converter, accessed through the PySerial library in Python.</w:t>
      </w:r>
    </w:p>
    <w:p>
      <w:pPr>
        <w:spacing w:after="120" w:line="276"/>
      </w:pPr>
      <w:r>
        <w:rPr>
          <w:rFonts w:ascii="Times New Roman" w:cs="Times New Roman" w:eastAsia="Times New Roman" w:hAnsi="Times New Roman"/>
          <w:sz w:val="22"/>
          <w:szCs w:val="22"/>
        </w:rPr>
        <w:t xml:space="preserve">All command packets follow the SPS-500 manufacturer’s protocol, consisting of header bytes, a command identifier, a data payload, and a CRC-8 checksum for data integrity verification. Commands transmitted to the SPS-500 include velocity set commands (azimuth and elevation axes independently), position query commands (to retrieve current encoder angles referenced to 0° = true north for azimuth and 0° = horizontal for elevation), and system status requests. Measured command round-trip latency is less than 5 ms at 115200 bps, which is negligible relative to the detection pipeline’s PSD update period of approximately 67 ms.</w:t>
      </w:r>
    </w:p>
    <w:p>
      <w:pPr>
        <w:pStyle w:val="Heading3"/>
      </w:pPr>
      <w:r>
        <w:t xml:space="preserve">4.2.3 RF-to-Motion Integration</w:t>
      </w:r>
    </w:p>
    <w:p>
      <w:pPr>
        <w:spacing w:after="120" w:line="276"/>
      </w:pPr>
      <w:r>
        <w:rPr>
          <w:rFonts w:ascii="Times New Roman" w:cs="Times New Roman" w:eastAsia="Times New Roman" w:hAnsi="Times New Roman"/>
          <w:sz w:val="22"/>
          <w:szCs w:val="22"/>
        </w:rPr>
        <w:t xml:space="preserve">The motion control system is tightly integrated with the RF detection pipeline to form a closed-loop electromechanical tracking system in which signal strength serves as the primary feedback variable. In TRACK mode, the system uses a gradient-based hill-climbing optimization algorithm to maximize RSSI on the directional Yagi channel. At each iteration, the controller measures a baseline RSSI at the current antenna position, commands a small angular probe step (Δθ = 2.0°), re-measures RSSI, and computes the directional gradient ΔR/Δθ (in dB/deg). This gradient is converted to a proportional velocity command using V = K_p × ΔR/Δθ, where K_p is a proportional gain constant set empirically to 0.5 deg/s per dB/deg. Velocity commands are saturated at V_max = 10.0 deg/s to prevent mechanical overshoot.</w:t>
      </w:r>
    </w:p>
    <w:p>
      <w:pPr>
        <w:spacing w:after="120" w:line="276"/>
      </w:pPr>
      <w:r>
        <w:rPr>
          <w:rFonts w:ascii="Times New Roman" w:cs="Times New Roman" w:eastAsia="Times New Roman" w:hAnsi="Times New Roman"/>
          <w:sz w:val="22"/>
          <w:szCs w:val="22"/>
        </w:rPr>
        <w:t xml:space="preserve">RSSI for the gradient computation is derived from the IQ sample stream by computing the mean power over a 1024-sample measurement window: RSSI (dBm) = 10 × log₁₀[(1/N) × Σ(I² + Q²)] + calibration offset. This 1024-sample window at 30.72 MSPS yields a measurement integration time of approximately 33 µs, providing sufficient averaging to suppress short-duration noise transients while maintaining responsiveness to antenna position changes. The algorithm’s convergence criterion is RSSI stability within 1.0 dB over five consecutive measurement cycles, at which point the system enters a dwell state with reduced measurement rate, periodically re-probing to detect target motion. Future improvements will incorporate adaptive step sizing, in which the step size is dynamically reduced as the gradient approaches zero near the signal peak, improving steady-state accuracy while maintaining rapid convergence from large initial angular offsets.</w:t>
      </w:r>
    </w:p>
    <w:p>
      <w:pPr>
        <w:pStyle w:val="Heading2"/>
      </w:pPr>
      <w:r>
        <w:t xml:space="preserve">4.3 Link Budget Analysis</w:t>
      </w:r>
    </w:p>
    <w:p>
      <w:pPr>
        <w:spacing w:after="120" w:line="276"/>
      </w:pPr>
      <w:r>
        <w:rPr>
          <w:rFonts w:ascii="Times New Roman" w:cs="Times New Roman" w:eastAsia="Times New Roman" w:hAnsi="Times New Roman"/>
          <w:sz w:val="22"/>
          <w:szCs w:val="22"/>
        </w:rPr>
        <w:t xml:space="preserve">A comprehensive link budget was computed to validate the 200-yard detection range target. For a DJI OcuSync drone transmitting at +23 dBm EIRP at 183 meters range:</w:t>
      </w:r>
    </w:p>
    <w:p>
      <w:pPr>
        <w:pStyle w:val="ListParagraph"/>
        <w:numPr>
          <w:ilvl w:val="0"/>
          <w:numId w:val="2"/>
        </w:numPr>
        <w:spacing w:after="60" w:line="276"/>
      </w:pPr>
      <w:r>
        <w:rPr>
          <w:rFonts w:ascii="Times New Roman" w:cs="Times New Roman" w:eastAsia="Times New Roman" w:hAnsi="Times New Roman"/>
          <w:sz w:val="22"/>
          <w:szCs w:val="22"/>
        </w:rPr>
        <w:t xml:space="preserve">Free Space Path Loss: 85.3 dB at 2.4 GHz over 183 m</w:t>
      </w:r>
    </w:p>
    <w:p>
      <w:pPr>
        <w:pStyle w:val="ListParagraph"/>
        <w:numPr>
          <w:ilvl w:val="0"/>
          <w:numId w:val="2"/>
        </w:numPr>
        <w:spacing w:after="60" w:line="276"/>
      </w:pPr>
      <w:r>
        <w:rPr>
          <w:rFonts w:ascii="Times New Roman" w:cs="Times New Roman" w:eastAsia="Times New Roman" w:hAnsi="Times New Roman"/>
          <w:sz w:val="22"/>
          <w:szCs w:val="22"/>
        </w:rPr>
        <w:t xml:space="preserve">Polarization mismatch: -3 dB (conservative linear-to-linear worst case)</w:t>
      </w:r>
    </w:p>
    <w:p>
      <w:pPr>
        <w:pStyle w:val="ListParagraph"/>
        <w:numPr>
          <w:ilvl w:val="0"/>
          <w:numId w:val="2"/>
        </w:numPr>
        <w:spacing w:after="60" w:line="276"/>
      </w:pPr>
      <w:r>
        <w:rPr>
          <w:rFonts w:ascii="Times New Roman" w:cs="Times New Roman" w:eastAsia="Times New Roman" w:hAnsi="Times New Roman"/>
          <w:sz w:val="22"/>
          <w:szCs w:val="22"/>
        </w:rPr>
        <w:t xml:space="preserve">Ground reflection fading: -6 dB (two-ray model)</w:t>
      </w:r>
    </w:p>
    <w:p>
      <w:pPr>
        <w:pStyle w:val="ListParagraph"/>
        <w:numPr>
          <w:ilvl w:val="0"/>
          <w:numId w:val="2"/>
        </w:numPr>
        <w:spacing w:after="60" w:line="276"/>
      </w:pPr>
      <w:r>
        <w:rPr>
          <w:rFonts w:ascii="Times New Roman" w:cs="Times New Roman" w:eastAsia="Times New Roman" w:hAnsi="Times New Roman"/>
          <w:sz w:val="22"/>
          <w:szCs w:val="22"/>
        </w:rPr>
        <w:t xml:space="preserve">Received power (PCB Yagi): +23 - 94.3 + 12 + 20 - 1 = -40.3 dBm</w:t>
      </w:r>
    </w:p>
    <w:p>
      <w:pPr>
        <w:pStyle w:val="ListParagraph"/>
        <w:numPr>
          <w:ilvl w:val="0"/>
          <w:numId w:val="2"/>
        </w:numPr>
        <w:spacing w:after="60" w:line="276"/>
      </w:pPr>
      <w:r>
        <w:rPr>
          <w:rFonts w:ascii="Times New Roman" w:cs="Times New Roman" w:eastAsia="Times New Roman" w:hAnsi="Times New Roman"/>
          <w:sz w:val="22"/>
          <w:szCs w:val="22"/>
        </w:rPr>
        <w:t xml:space="preserve">System noise floor: -174 + 74.9 + 1.57 = -97.5 dBm (at 30 MHz BW)</w:t>
      </w:r>
    </w:p>
    <w:p>
      <w:pPr>
        <w:pStyle w:val="ListParagraph"/>
        <w:numPr>
          <w:ilvl w:val="0"/>
          <w:numId w:val="2"/>
        </w:numPr>
        <w:spacing w:after="60" w:line="276"/>
      </w:pPr>
      <w:r>
        <w:rPr>
          <w:rFonts w:ascii="Times New Roman" w:cs="Times New Roman" w:eastAsia="Times New Roman" w:hAnsi="Times New Roman"/>
          <w:sz w:val="22"/>
          <w:szCs w:val="22"/>
        </w:rPr>
        <w:t xml:space="preserve">SNR at receiver: 57.2 dB, providing a margin of 47.2 dB above the 10 dB detection threshold</w:t>
      </w:r>
    </w:p>
    <w:p>
      <w:pPr>
        <w:jc w:val="center"/>
      </w:pPr>
      <w:r>
        <w:drawing>
          <wp:inline distT="0" distB="0" distL="0" distR="0">
            <wp:extent cx="4953000" cy="2447925"/>
            <wp:effectExtent t="0" r="0" b="0" l="0"/>
            <wp:docPr id="1" name="fig6_link_budget.png" descr="fig6_link_budget.png" title="fig6_link_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447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6: Link budget analysis diagram for DJI OcuSync at 200 yards. The system achieves &gt;47 dB margin.</w:t>
      </w:r>
    </w:p>
    <w:p>
      <w:pPr>
        <w:spacing w:after="120" w:line="276"/>
      </w:pPr>
      <w:r>
        <w:rPr>
          <w:rFonts w:ascii="Times New Roman" w:cs="Times New Roman" w:eastAsia="Times New Roman" w:hAnsi="Times New Roman"/>
          <w:sz w:val="22"/>
          <w:szCs w:val="22"/>
        </w:rPr>
        <w:t xml:space="preserve">This substantial margin confirms that 200 yards is well within the system’s capability, with a theoretical free-space maximum range of several kilometers. Practical performance in the field will be limited by multipath, clutter from co-channel WiFi transmitters, and non-ideal propagation conditions.</w:t>
      </w:r>
    </w:p>
    <w:p>
      <w:pPr>
        <w:pStyle w:val="Heading2"/>
      </w:pPr>
      <w:r>
        <w:t xml:space="preserve">4.4 Software Architecture</w:t>
      </w:r>
    </w:p>
    <w:p>
      <w:pPr>
        <w:spacing w:after="120" w:line="276"/>
      </w:pPr>
      <w:r>
        <w:rPr>
          <w:rFonts w:ascii="Times New Roman" w:cs="Times New Roman" w:eastAsia="Times New Roman" w:hAnsi="Times New Roman"/>
          <w:sz w:val="22"/>
          <w:szCs w:val="22"/>
        </w:rPr>
        <w:t xml:space="preserve">The software is organized into five Python packages: sdr (capture and configuration), dsp (spectrum analysis and detection), antenna (controller and state machine), pipeline (async engine wiring all components), and ui (real-time visualization). All hardware parameters are externalized to a YAML configuration file with zero hardcoded values. Configuration is loaded into frozen (immutable) dataclasses at startup, preventing runtime mutation of critical parameters. The async pipeline engine uses Python’s asyncio for non-blocking I/O, wrapping USRP hardware reads in asyncio.to_thread() to avoid blocking the main event loop.</w:t>
      </w:r>
    </w:p>
    <w:p>
      <w:pPr>
        <w:pStyle w:val="Heading2"/>
      </w:pPr>
      <w:r>
        <w:t xml:space="preserve">4.5 Materials Selection</w:t>
      </w:r>
    </w:p>
    <w:p>
      <w:pPr>
        <w:spacing w:after="120" w:line="276"/>
      </w:pPr>
      <w:r>
        <w:rPr>
          <w:rFonts w:ascii="Times New Roman" w:cs="Times New Roman" w:eastAsia="Times New Roman" w:hAnsi="Times New Roman"/>
          <w:sz w:val="22"/>
          <w:szCs w:val="22"/>
        </w:rPr>
        <w:t xml:space="preserve">The primary hardware components and their materials are summarized in Table 4. Component selection prioritized RF performance, availability, and compatibility with the USRP B210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Selection</w:t>
            </w:r>
          </w:p>
        </w:tc>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Key Specification</w:t>
            </w:r>
          </w:p>
        </w:tc>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SDR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USRP B210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2x2 MIMO, 30.72 MSPS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Only option with native MIMO</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Directional Antenna</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PCB Yagi (test)</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12 dBi, 35° BW</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Low cost for dev/test phase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Omni Antenna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Vertical Dipole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 dBi, 360°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All-around coverage</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LNA</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BPF+LNA Module</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20 dB gain, &lt;1.5 dB NF</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Cascaded NF improvement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Positioning 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SPS-500 (2-axis)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0.01° res, 360° az, RS-422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Honeywell-provided, high precision</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Host Computer</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Laptop (USB 3.0)</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Sufficient USB throughput</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Development flexibility</w:t>
            </w:r>
          </w:p>
        </w:tc>
      </w:tr>
    </w:tbl>
    <w:p>
      <w:pPr>
        <w:spacing w:after="200" w:before="60"/>
        <w:jc w:val="center"/>
      </w:pPr>
      <w:r>
        <w:rPr>
          <w:rFonts w:ascii="Times New Roman" w:cs="Times New Roman" w:eastAsia="Times New Roman" w:hAnsi="Times New Roman"/>
          <w:i/>
          <w:iCs/>
          <w:sz w:val="20"/>
          <w:szCs w:val="20"/>
        </w:rPr>
        <w:t xml:space="preserve">Table 4: Bill of materials for primary system components.</w:t>
      </w:r>
    </w:p>
    <w:p>
      <w:r>
        <w:br w:type="page"/>
      </w:r>
    </w:p>
    <w:p>
      <w:pPr>
        <w:pStyle w:val="Heading1"/>
      </w:pPr>
      <w:r>
        <w:t xml:space="preserve">5. Testing and Validation</w:t>
      </w:r>
    </w:p>
    <w:p>
      <w:pPr>
        <w:pStyle w:val="Heading2"/>
      </w:pPr>
      <w:r>
        <w:t xml:space="preserve">5.1 Test Methodology</w:t>
      </w:r>
    </w:p>
    <w:p>
      <w:pPr>
        <w:spacing w:after="120" w:line="276"/>
      </w:pPr>
      <w:r>
        <w:rPr>
          <w:rFonts w:ascii="Times New Roman" w:cs="Times New Roman" w:eastAsia="Times New Roman" w:hAnsi="Times New Roman"/>
          <w:sz w:val="22"/>
          <w:szCs w:val="22"/>
        </w:rPr>
        <w:t xml:space="preserve">Testing follows a three-tier approach: unit tests with synthetic IQ data, bench tests with controlled RF transmitters, and field tests with actual drones. Unit tests validate algorithm correctness in isolation; bench tests verify end-to-end hardware-software integration; field tests confirm real-world performance against the target specifications.</w:t>
      </w:r>
    </w:p>
    <w:p>
      <w:pPr>
        <w:pStyle w:val="Heading2"/>
      </w:pPr>
      <w:r>
        <w:t xml:space="preserve">5.2 Unit Test Results</w:t>
      </w:r>
    </w:p>
    <w:p>
      <w:pPr>
        <w:spacing w:after="120" w:line="276"/>
      </w:pPr>
      <w:r>
        <w:rPr>
          <w:rFonts w:ascii="Times New Roman" w:cs="Times New Roman" w:eastAsia="Times New Roman" w:hAnsi="Times New Roman"/>
          <w:sz w:val="22"/>
          <w:szCs w:val="22"/>
        </w:rPr>
        <w:t xml:space="preserve">The unit test suite contains over 60 test cases organized across seven test modules covering configuration loading, synthetic IQ source validation, PSD computation, both detector algorithms, antenna controller state machine, and full pipeline integration. All tests operate on synthetic IQ data generated by the SyntheticSource class, which produces deterministic, seedable complex64 signals including pure tones, wideband OFDM-like signals, and calibrated Gaussian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Test Module</w:t>
            </w:r>
          </w:p>
        </w:tc>
        <w:tc>
          <w:tcPr>
            <w:tcW w:type="dxa" w:w="312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Tests</w:t>
            </w:r>
          </w:p>
        </w:tc>
        <w:tc>
          <w:tcPr>
            <w:tcW w:type="dxa" w:w="312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test_config.py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Config loading, type correctness, immutability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All passing</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test_synthetic.py</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Source dtype, shape, noise power, tone detection</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All passing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test_spectrum.py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PSD shape, freq range, tone recovery (±3 dB)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All passing</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test_detector.py</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Noise immunity, signal detection, bandwidth est.</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All passing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test_antenna.py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All 4 modes, slew rate, timeouts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All passing</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test_pipeline.py</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Lifecycle, detection, antenna transitions</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All passing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test_usrp.py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B210 hardware validation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Skipped (no HW)</w:t>
            </w:r>
          </w:p>
        </w:tc>
      </w:tr>
    </w:tbl>
    <w:p>
      <w:pPr>
        <w:spacing w:after="200" w:before="60"/>
        <w:jc w:val="center"/>
      </w:pPr>
      <w:r>
        <w:rPr>
          <w:rFonts w:ascii="Times New Roman" w:cs="Times New Roman" w:eastAsia="Times New Roman" w:hAnsi="Times New Roman"/>
          <w:i/>
          <w:iCs/>
          <w:sz w:val="20"/>
          <w:szCs w:val="20"/>
        </w:rPr>
        <w:t xml:space="preserve">Table 5: Unit test suite summary.</w:t>
      </w:r>
    </w:p>
    <w:p>
      <w:pPr>
        <w:pStyle w:val="Heading2"/>
      </w:pPr>
      <w:r>
        <w:t xml:space="preserve">5.3 Performance Targets</w:t>
      </w:r>
    </w:p>
    <w:p>
      <w:pPr>
        <w:spacing w:after="120" w:line="276"/>
      </w:pPr>
      <w:r>
        <w:rPr>
          <w:rFonts w:ascii="Times New Roman" w:cs="Times New Roman" w:eastAsia="Times New Roman" w:hAnsi="Times New Roman"/>
          <w:sz w:val="22"/>
          <w:szCs w:val="22"/>
        </w:rPr>
        <w:t xml:space="preserve">Table 6 presents the quantitative performance targets and current status for each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Current Status</w:t>
            </w:r>
          </w:p>
        </w:tc>
        <w:tc>
          <w:tcPr>
            <w:tcW w:type="dxa" w:w="234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Detection Range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200 m (open sky)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Theoretical: &gt;2 km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Link budget validated</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Bearing Accuracy</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 ±5° at 100 m</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Pending field test</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Parabolic fit planned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False Positive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&lt; 1 per 10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 on synthetic data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CFAR Pfa ~10⁻⁶</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Detection Latency</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&lt; 2 sec</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~67 ms per frame</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Limited by PSD update rate</w:t>
            </w:r>
          </w:p>
        </w:tc>
      </w:tr>
    </w:tbl>
    <w:p>
      <w:pPr>
        <w:spacing w:after="200" w:before="60"/>
        <w:jc w:val="center"/>
      </w:pPr>
      <w:r>
        <w:rPr>
          <w:rFonts w:ascii="Times New Roman" w:cs="Times New Roman" w:eastAsia="Times New Roman" w:hAnsi="Times New Roman"/>
          <w:i/>
          <w:iCs/>
          <w:sz w:val="20"/>
          <w:szCs w:val="20"/>
        </w:rPr>
        <w:t xml:space="preserve">Table 6: Performance targets and current status.</w:t>
      </w:r>
    </w:p>
    <w:p>
      <w:pPr>
        <w:pStyle w:val="Heading2"/>
      </w:pPr>
      <w:r>
        <w:t xml:space="preserve">5.4 Bench and Field Test Plans</w:t>
      </w:r>
    </w:p>
    <w:p>
      <w:pPr>
        <w:spacing w:after="120" w:line="276"/>
      </w:pPr>
      <w:r>
        <w:rPr>
          <w:rFonts w:ascii="Times New Roman" w:cs="Times New Roman" w:eastAsia="Times New Roman" w:hAnsi="Times New Roman"/>
          <w:sz w:val="22"/>
          <w:szCs w:val="22"/>
        </w:rPr>
        <w:t xml:space="preserve">Bench testing will use a known RF transmitter at fixed distances and bearings to validate detection range, bearing accuracy, and false alarm rate in a controlled environment. Field testing with actual consumer drones (DJI Mini 3 Pro, DJI Air 2S) will follow the field test protocol documented in the project’s TESTING.md, including raw IQ capture for every test session, GPS-tagged transmitter positions, and structured comparison of detected versus actual bearings.</w:t>
      </w:r>
    </w:p>
    <w:p>
      <w:pPr>
        <w:jc w:val="center"/>
      </w:pPr>
      <w:r>
        <w:drawing>
          <wp:inline distT="0" distB="0" distL="0" distR="0">
            <wp:extent cx="4953000" cy="2447925"/>
            <wp:effectExtent t="0" r="0" b="0" l="0"/>
            <wp:docPr id="1" name="fig9_test_setup.png" descr="fig9_test_setup.png" title="fig9_test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447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9: Bench test setup. [INSERT PHOTO of test environment with transmitter and receiver positions]</w:t>
      </w:r>
    </w:p>
    <w:p>
      <w:r>
        <w:br w:type="page"/>
      </w:r>
    </w:p>
    <w:p>
      <w:pPr>
        <w:pStyle w:val="Heading1"/>
      </w:pPr>
      <w:r>
        <w:t xml:space="preserve">6. Standards Integration, Design for X, and Human Factors</w:t>
      </w:r>
    </w:p>
    <w:p>
      <w:pPr>
        <w:pStyle w:val="Heading2"/>
      </w:pPr>
      <w:r>
        <w:t xml:space="preserve">6.1 Standards Integration</w:t>
      </w:r>
    </w:p>
    <w:p>
      <w:pPr>
        <w:pStyle w:val="ListParagraph"/>
        <w:numPr>
          <w:ilvl w:val="0"/>
          <w:numId w:val="2"/>
        </w:numPr>
        <w:spacing w:after="60" w:line="276"/>
      </w:pPr>
      <w:r>
        <w:rPr>
          <w:rFonts w:ascii="Times New Roman" w:cs="Times New Roman" w:eastAsia="Times New Roman" w:hAnsi="Times New Roman"/>
          <w:sz w:val="22"/>
          <w:szCs w:val="22"/>
        </w:rPr>
        <w:t xml:space="preserve">ASTM F3411-22a: Standard Specification for Remote ID and Tracking. SENTINEL’s RemoteID decoder implements this standard for parsing drone identity and position broadcasts.</w:t>
      </w:r>
    </w:p>
    <w:p>
      <w:pPr>
        <w:pStyle w:val="ListParagraph"/>
        <w:numPr>
          <w:ilvl w:val="0"/>
          <w:numId w:val="2"/>
        </w:numPr>
        <w:spacing w:after="60" w:line="276"/>
      </w:pPr>
      <w:r>
        <w:rPr>
          <w:rFonts w:ascii="Times New Roman" w:cs="Times New Roman" w:eastAsia="Times New Roman" w:hAnsi="Times New Roman"/>
          <w:sz w:val="22"/>
          <w:szCs w:val="22"/>
        </w:rPr>
        <w:t xml:space="preserve">IEEE 802.11: WiFi protocol standard. The system captures and parses 802.11 beacon frames for drone identification via MAC OUI matching.</w:t>
      </w:r>
    </w:p>
    <w:p>
      <w:pPr>
        <w:pStyle w:val="ListParagraph"/>
        <w:numPr>
          <w:ilvl w:val="0"/>
          <w:numId w:val="2"/>
        </w:numPr>
        <w:spacing w:after="60" w:line="276"/>
      </w:pPr>
      <w:r>
        <w:rPr>
          <w:rFonts w:ascii="Times New Roman" w:cs="Times New Roman" w:eastAsia="Times New Roman" w:hAnsi="Times New Roman"/>
          <w:sz w:val="22"/>
          <w:szCs w:val="22"/>
        </w:rPr>
        <w:t xml:space="preserve">FCC Part 15: The system operates as a passive receiver only and does not transmit, ensuring compliance with FCC regulations for unlicensed operation in the ISM band.</w:t>
      </w:r>
    </w:p>
    <w:p>
      <w:pPr>
        <w:pStyle w:val="ListParagraph"/>
        <w:numPr>
          <w:ilvl w:val="0"/>
          <w:numId w:val="2"/>
        </w:numPr>
        <w:spacing w:after="60" w:line="276"/>
      </w:pPr>
      <w:r>
        <w:rPr>
          <w:rFonts w:ascii="Times New Roman" w:cs="Times New Roman" w:eastAsia="Times New Roman" w:hAnsi="Times New Roman"/>
          <w:sz w:val="22"/>
          <w:szCs w:val="22"/>
        </w:rPr>
        <w:t xml:space="preserve">SigMF (Signal Metadata Format): Raw IQ captures are stored with SigMF-compliant metadata sidecar files for interoperability with other SDR tools.</w:t>
      </w:r>
    </w:p>
    <w:p>
      <w:pPr>
        <w:pStyle w:val="Heading2"/>
      </w:pPr>
      <w:r>
        <w:t xml:space="preserve">6.2 Design for Manufacturing and Assembly</w:t>
      </w:r>
    </w:p>
    <w:p>
      <w:pPr>
        <w:spacing w:after="120" w:line="276"/>
      </w:pPr>
      <w:r>
        <w:rPr>
          <w:rFonts w:ascii="Times New Roman" w:cs="Times New Roman" w:eastAsia="Times New Roman" w:hAnsi="Times New Roman"/>
          <w:sz w:val="22"/>
          <w:szCs w:val="22"/>
        </w:rPr>
        <w:t xml:space="preserve">The system is designed for straightforward assembly using commercially available off-the-shelf (COTS) components connected via standard RF connectors (RP-SMA, N-type with adapters) and USB interfaces. No custom PCB fabrication is required for the current design. The mechanical mount uses a standard servo motor attached to a commercially available antenna mast bracket, enabling assembly with basic hand tools. All software dependencies are managed through a single setup script (setup-ubuntu.sh) and Python virtual environment.</w:t>
      </w:r>
    </w:p>
    <w:p>
      <w:pPr>
        <w:pStyle w:val="Heading2"/>
      </w:pPr>
      <w:r>
        <w:t xml:space="preserve">6.3 Design for Environment</w:t>
      </w:r>
    </w:p>
    <w:p>
      <w:pPr>
        <w:spacing w:after="120" w:line="276"/>
      </w:pPr>
      <w:r>
        <w:rPr>
          <w:rFonts w:ascii="Times New Roman" w:cs="Times New Roman" w:eastAsia="Times New Roman" w:hAnsi="Times New Roman"/>
          <w:sz w:val="22"/>
          <w:szCs w:val="22"/>
        </w:rPr>
        <w:t xml:space="preserve">SENTINEL’s passive operation means zero RF emissions, eliminating electromagnetic pollution that is inherent to active radar systems. Power consumption is modest (approximately 15W for the USRP B210 and host laptop), and all electronic components are standard commercial products eligible for established e-waste recycling programs. The system’s software-defined architecture allows performance upgrades through algorithm improvements without hardware replacement, extending the useful lifecycle.</w:t>
      </w:r>
    </w:p>
    <w:p>
      <w:pPr>
        <w:pStyle w:val="Heading2"/>
      </w:pPr>
      <w:r>
        <w:t xml:space="preserve">6.4 Human Factors</w:t>
      </w:r>
    </w:p>
    <w:p>
      <w:pPr>
        <w:spacing w:after="120" w:line="276"/>
      </w:pPr>
      <w:r>
        <w:rPr>
          <w:rFonts w:ascii="Times New Roman" w:cs="Times New Roman" w:eastAsia="Times New Roman" w:hAnsi="Times New Roman"/>
          <w:sz w:val="22"/>
          <w:szCs w:val="22"/>
        </w:rPr>
        <w:t xml:space="preserve">The user interface is designed for non-specialist operators. The radar app presents a PPI (Plan Position Indicator) display familiar to security personnel, with color-coded detection confidence levels and automated alerting. Configuration is centralized in a single YAML file with descriptive comments for each parameter. The system starts with a single command (make run-live) and operates autonomously once configured, requiring no manual intervention during normal scanning. Future development will add a web-based configuration interface to eliminate the need for command-line interaction.</w:t>
      </w:r>
    </w:p>
    <w:p>
      <w:r>
        <w:br w:type="page"/>
      </w:r>
    </w:p>
    <w:p>
      <w:pPr>
        <w:pStyle w:val="Heading1"/>
      </w:pPr>
      <w:r>
        <w:t xml:space="preserve">7. Economic Analysis, Budget, and Schedule</w:t>
      </w:r>
    </w:p>
    <w:p>
      <w:pPr>
        <w:pStyle w:val="Heading2"/>
      </w:pPr>
      <w:r>
        <w:t xml:space="preserve">7.1 Budget</w:t>
      </w:r>
    </w:p>
    <w:p>
      <w:pPr>
        <w:spacing w:after="120" w:line="276"/>
      </w:pPr>
      <w:r>
        <w:rPr>
          <w:rFonts w:ascii="Times New Roman" w:cs="Times New Roman" w:eastAsia="Times New Roman" w:hAnsi="Times New Roman"/>
          <w:sz w:val="22"/>
          <w:szCs w:val="22"/>
        </w:rPr>
        <w:t xml:space="preserve">Table 7 presents the estimated project budget for all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Item</w:t>
            </w:r>
          </w:p>
        </w:tc>
        <w:tc>
          <w:tcPr>
            <w:tcW w:type="dxa" w:w="208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Quantity</w:t>
            </w:r>
          </w:p>
        </w:tc>
        <w:tc>
          <w:tcPr>
            <w:tcW w:type="dxa" w:w="208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Unit Cost</w:t>
            </w:r>
          </w:p>
        </w:tc>
        <w:tc>
          <w:tcPr>
            <w:tcW w:type="dxa" w:w="2080"/>
            <w:tcBorders>
              <w:top w:val="single" w:color="CCCCCC" w:sz="1"/>
              <w:left w:val="single" w:color="CCCCCC" w:sz="1"/>
              <w:bottom w:val="single" w:color="CCCCCC" w:sz="1"/>
              <w:right w:val="single" w:color="CCCCCC" w:sz="1"/>
            </w:tcBorders>
            <w:shd w:fill="2C5F8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Total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USRP B210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$1,500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$1,500</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PCB Yagi Antenna (test)</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$30</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$30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L-com HG2415Y-RSP (final)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$90</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Omnidirectional Dipole</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$15</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BPF+LNA Module (2.4 GHz)</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$100</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SPS-500 Positioner + RS-422 Adapter</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1 + 1</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Provided + $35</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$35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Coaxial Cables + Adapters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Misc</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$50</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Mounting Hardware</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Misc</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TOTAL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~$1,860</w:t>
            </w:r>
          </w:p>
        </w:tc>
      </w:tr>
    </w:tbl>
    <w:p>
      <w:pPr>
        <w:spacing w:after="200" w:before="60"/>
        <w:jc w:val="center"/>
      </w:pPr>
      <w:r>
        <w:rPr>
          <w:rFonts w:ascii="Times New Roman" w:cs="Times New Roman" w:eastAsia="Times New Roman" w:hAnsi="Times New Roman"/>
          <w:i/>
          <w:iCs/>
          <w:sz w:val="20"/>
          <w:szCs w:val="20"/>
        </w:rPr>
        <w:t xml:space="preserve">Table 7: Project budget summary.</w:t>
      </w:r>
    </w:p>
    <w:p>
      <w:pPr>
        <w:spacing w:after="120" w:line="276"/>
      </w:pPr>
      <w:r>
        <w:rPr>
          <w:rFonts w:ascii="Times New Roman" w:cs="Times New Roman" w:eastAsia="Times New Roman" w:hAnsi="Times New Roman"/>
          <w:i/>
          <w:iCs/>
          <w:sz w:val="22"/>
          <w:szCs w:val="22"/>
        </w:rPr>
        <w:t xml:space="preserve">[NOTE: Update costs with actual purchase prices and add any additional items as needed.]</w:t>
      </w:r>
    </w:p>
    <w:p>
      <w:pPr>
        <w:pStyle w:val="Heading2"/>
      </w:pPr>
      <w:r>
        <w:t xml:space="preserve">7.2 Project Timeline</w:t>
      </w:r>
    </w:p>
    <w:p>
      <w:pPr>
        <w:spacing w:after="120" w:line="276"/>
      </w:pPr>
      <w:r>
        <w:rPr>
          <w:rFonts w:ascii="Times New Roman" w:cs="Times New Roman" w:eastAsia="Times New Roman" w:hAnsi="Times New Roman"/>
          <w:sz w:val="22"/>
          <w:szCs w:val="22"/>
        </w:rPr>
        <w:t xml:space="preserve">The project follows a four-phase development schedule spanning two semesters, with a mid-May 2026 delivery target. Phase 1 (Foundation) focused on building the core SDR capture pipeline, detection algorithms, and software architecture during Fall 2025 and early Spring 2026. Phase 2 (Detection) will refine detection algorithms through field tuning and develop FHSS classification and bearing estimation during late March through mid-April. Phase 3 (Tracking) adds Kalman filtering and scan-to-track handoff in April. Phase 4 (Field Operations) delivers the hardened user interface and comprehensive field validation, completing by early May 2026.</w:t>
      </w:r>
    </w:p>
    <w:p>
      <w:pPr>
        <w:jc w:val="center"/>
      </w:pPr>
      <w:r>
        <w:drawing>
          <wp:inline distT="0" distB="0" distL="0" distR="0">
            <wp:extent cx="5334000" cy="3733800"/>
            <wp:effectExtent t="0" r="0" b="0" l="0"/>
            <wp:docPr id="1" name="fig7_gantt_chart.png" descr="fig7_gantt_chart.png" title="fig7_gantt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33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7: Project Gantt chart showing the four development phases and key milestones.</w:t>
      </w:r>
    </w:p>
    <w:p>
      <w:r>
        <w:br w:type="page"/>
      </w:r>
    </w:p>
    <w:p>
      <w:pPr>
        <w:pStyle w:val="Heading1"/>
      </w:pPr>
      <w:r>
        <w:t xml:space="preserve">8. Societal, Environmental, and Ethical Considerations</w:t>
      </w:r>
    </w:p>
    <w:p>
      <w:pPr>
        <w:spacing w:after="120" w:line="276"/>
      </w:pPr>
      <w:r>
        <w:rPr>
          <w:rFonts w:ascii="Times New Roman" w:cs="Times New Roman" w:eastAsia="Times New Roman" w:hAnsi="Times New Roman"/>
          <w:sz w:val="22"/>
          <w:szCs w:val="22"/>
        </w:rPr>
        <w:t xml:space="preserve">SENTINEL’s passive detection approach offers several societal benefits. By enabling affordable drone awareness without requiring active radar licenses, it democratizes airspace security for organizations that cannot afford military-grade counter-UAS systems. The system supports public safety by helping security personnel detect unauthorized drones near airports, stadiums, and critical infrastructure.</w:t>
      </w:r>
    </w:p>
    <w:p>
      <w:pPr>
        <w:spacing w:after="120" w:line="276"/>
      </w:pPr>
      <w:r>
        <w:rPr>
          <w:rFonts w:ascii="Times New Roman" w:cs="Times New Roman" w:eastAsia="Times New Roman" w:hAnsi="Times New Roman"/>
          <w:sz w:val="22"/>
          <w:szCs w:val="22"/>
        </w:rPr>
        <w:t xml:space="preserve">Environmentally, the system’s passive nature means it contributes zero RF pollution to an already congested ISM band. Power consumption is minimal compared to active radar alternatives.</w:t>
      </w:r>
    </w:p>
    <w:p>
      <w:pPr>
        <w:spacing w:after="120" w:line="276"/>
      </w:pPr>
      <w:r>
        <w:rPr>
          <w:rFonts w:ascii="Times New Roman" w:cs="Times New Roman" w:eastAsia="Times New Roman" w:hAnsi="Times New Roman"/>
          <w:sz w:val="22"/>
          <w:szCs w:val="22"/>
        </w:rPr>
        <w:t xml:space="preserve">Ethically, the system raises considerations around surveillance and privacy. While SENTINEL detects drones rather than people, the decoded Remote ID data includes operator positions. The system is designed to support authorized security operations and should be deployed in accordance with applicable local, state, and federal regulations regarding RF monitoring and drone surveillance. The team has ensured that the system only receives publicly broadcast signals (Remote ID beacons are mandated by the FAA to be publicly accessible) and does not intercept private communications.</w:t>
      </w:r>
    </w:p>
    <w:p>
      <w:r>
        <w:br w:type="page"/>
      </w:r>
    </w:p>
    <w:p>
      <w:pPr>
        <w:pStyle w:val="Heading1"/>
      </w:pPr>
      <w:r>
        <w:t xml:space="preserve">9. Summary and Conclusions</w:t>
      </w:r>
    </w:p>
    <w:p>
      <w:pPr>
        <w:spacing w:after="120" w:line="276"/>
      </w:pPr>
      <w:r>
        <w:rPr>
          <w:rFonts w:ascii="Times New Roman" w:cs="Times New Roman" w:eastAsia="Times New Roman" w:hAnsi="Times New Roman"/>
          <w:sz w:val="22"/>
          <w:szCs w:val="22"/>
        </w:rPr>
        <w:t xml:space="preserve">This report has presented the design, implementation progress, and validation approach for SENTINEL, a passive RF drone detection system operating at 2.4 GHz. The key accomplishments and findings to date are:</w:t>
      </w:r>
    </w:p>
    <w:p>
      <w:pPr>
        <w:pStyle w:val="ListParagraph"/>
        <w:numPr>
          <w:ilvl w:val="0"/>
          <w:numId w:val="2"/>
        </w:numPr>
        <w:spacing w:after="60" w:line="276"/>
      </w:pPr>
      <w:r>
        <w:rPr>
          <w:rFonts w:ascii="Times New Roman" w:cs="Times New Roman" w:eastAsia="Times New Roman" w:hAnsi="Times New Roman"/>
          <w:sz w:val="22"/>
          <w:szCs w:val="22"/>
        </w:rPr>
        <w:t xml:space="preserve">The dual-channel SDR architecture using the USRP B210 has been successfully implemented, with both the SyntheticSource (for testing) and USRPSource (for hardware) operational.</w:t>
      </w:r>
    </w:p>
    <w:p>
      <w:pPr>
        <w:pStyle w:val="ListParagraph"/>
        <w:numPr>
          <w:ilvl w:val="0"/>
          <w:numId w:val="2"/>
        </w:numPr>
        <w:spacing w:after="60" w:line="276"/>
      </w:pPr>
      <w:r>
        <w:rPr>
          <w:rFonts w:ascii="Times New Roman" w:cs="Times New Roman" w:eastAsia="Times New Roman" w:hAnsi="Times New Roman"/>
          <w:sz w:val="22"/>
          <w:szCs w:val="22"/>
        </w:rPr>
        <w:t xml:space="preserve">The signal processing pipeline—including DC offset removal, Welch PSD estimation, adaptive tripwire detection, and CA-CFAR detection—is fully functional and validated against synthetic IQ data.</w:t>
      </w:r>
    </w:p>
    <w:p>
      <w:pPr>
        <w:pStyle w:val="ListParagraph"/>
        <w:numPr>
          <w:ilvl w:val="0"/>
          <w:numId w:val="2"/>
        </w:numPr>
        <w:spacing w:after="60" w:line="276"/>
      </w:pPr>
      <w:r>
        <w:rPr>
          <w:rFonts w:ascii="Times New Roman" w:cs="Times New Roman" w:eastAsia="Times New Roman" w:hAnsi="Times New Roman"/>
          <w:sz w:val="22"/>
          <w:szCs w:val="22"/>
        </w:rPr>
        <w:t xml:space="preserve">Link budget analysis confirms a detection margin exceeding 47 dB for DJI OcuSync signals at the 200-yard target range, demonstrating that the design is not sensitivity-limited for the intended application.</w:t>
      </w:r>
    </w:p>
    <w:p>
      <w:pPr>
        <w:pStyle w:val="ListParagraph"/>
        <w:numPr>
          <w:ilvl w:val="0"/>
          <w:numId w:val="2"/>
        </w:numPr>
        <w:spacing w:after="60" w:line="276"/>
      </w:pPr>
      <w:r>
        <w:rPr>
          <w:rFonts w:ascii="Times New Roman" w:cs="Times New Roman" w:eastAsia="Times New Roman" w:hAnsi="Times New Roman"/>
          <w:sz w:val="22"/>
          <w:szCs w:val="22"/>
        </w:rPr>
        <w:t xml:space="preserve">The antenna control state machine (SCAN, CUE, TRACK) has been implemented and tested in simulation, with the SimulatedController accurately modeling slew rates and state transitions.</w:t>
      </w:r>
    </w:p>
    <w:p>
      <w:pPr>
        <w:pStyle w:val="ListParagraph"/>
        <w:numPr>
          <w:ilvl w:val="0"/>
          <w:numId w:val="2"/>
        </w:numPr>
        <w:spacing w:after="60" w:line="276"/>
      </w:pPr>
      <w:r>
        <w:rPr>
          <w:rFonts w:ascii="Times New Roman" w:cs="Times New Roman" w:eastAsia="Times New Roman" w:hAnsi="Times New Roman"/>
          <w:sz w:val="22"/>
          <w:szCs w:val="22"/>
        </w:rPr>
        <w:t xml:space="preserve">A comprehensive unit test suite of 60+ tests validates all core modules, achieving 100% pass rate on synthetic data.</w:t>
      </w:r>
    </w:p>
    <w:p>
      <w:pPr>
        <w:pStyle w:val="ListParagraph"/>
        <w:numPr>
          <w:ilvl w:val="0"/>
          <w:numId w:val="2"/>
        </w:numPr>
        <w:spacing w:after="60" w:line="276"/>
      </w:pPr>
      <w:r>
        <w:rPr>
          <w:rFonts w:ascii="Times New Roman" w:cs="Times New Roman" w:eastAsia="Times New Roman" w:hAnsi="Times New Roman"/>
          <w:sz w:val="22"/>
          <w:szCs w:val="22"/>
        </w:rPr>
        <w:t xml:space="preserve">The system’s false alarm performance on synthetic data shows zero false positives, consistent with the CA-CFAR theoretical false alarm probability of approximately 10⁻⁶.</w:t>
      </w:r>
    </w:p>
    <w:p>
      <w:pPr>
        <w:spacing w:after="120" w:line="276"/>
      </w:pPr>
      <w:r>
        <w:rPr>
          <w:rFonts w:ascii="Times New Roman" w:cs="Times New Roman" w:eastAsia="Times New Roman" w:hAnsi="Times New Roman"/>
          <w:sz w:val="22"/>
          <w:szCs w:val="22"/>
        </w:rPr>
        <w:t xml:space="preserve">Remaining work includes integration of Remote ID and DJI DroneID packet decoders, connection of the radar frontend via WebSocket, bench testing with controlled RF sources, and field validation with consumer drones. The project is on track to meet all target specifications within the planned timeline.</w:t>
      </w:r>
    </w:p>
    <w:p>
      <w:r>
        <w:br w:type="page"/>
      </w:r>
    </w:p>
    <w:p>
      <w:pPr>
        <w:pStyle w:val="Heading1"/>
      </w:pPr>
      <w:r>
        <w:t xml:space="preserve">References</w:t>
      </w:r>
    </w:p>
    <w:p>
      <w:pPr>
        <w:spacing w:after="80" w:line="276"/>
        <w:ind w:left="720" w:hanging="720"/>
      </w:pPr>
      <w:r>
        <w:rPr>
          <w:rFonts w:ascii="Times New Roman" w:cs="Times New Roman" w:eastAsia="Times New Roman" w:hAnsi="Times New Roman"/>
          <w:sz w:val="20"/>
          <w:szCs w:val="20"/>
        </w:rPr>
        <w:t xml:space="preserve">[1] Schiller, N., et al., "Drone Security and the Mysterious Case of DJI’s DroneID," Proc. NDSS Symposium, 2023.</w:t>
      </w:r>
    </w:p>
    <w:p>
      <w:pPr>
        <w:spacing w:after="80" w:line="276"/>
        <w:ind w:left="720" w:hanging="720"/>
      </w:pPr>
      <w:r>
        <w:rPr>
          <w:rFonts w:ascii="Times New Roman" w:cs="Times New Roman" w:eastAsia="Times New Roman" w:hAnsi="Times New Roman"/>
          <w:sz w:val="20"/>
          <w:szCs w:val="20"/>
        </w:rPr>
        <w:t xml:space="preserve">[2] ASTM International, "ASTM F3411-22a: Standard Specification for Remote ID and Tracking," 2022.</w:t>
      </w:r>
    </w:p>
    <w:p>
      <w:pPr>
        <w:spacing w:after="80" w:line="276"/>
        <w:ind w:left="720" w:hanging="720"/>
      </w:pPr>
      <w:r>
        <w:rPr>
          <w:rFonts w:ascii="Times New Roman" w:cs="Times New Roman" w:eastAsia="Times New Roman" w:hAnsi="Times New Roman"/>
          <w:sz w:val="20"/>
          <w:szCs w:val="20"/>
        </w:rPr>
        <w:t xml:space="preserve">[3] Nguyen, P., et al., "Matthan: Drone Presence Detection by Identifying Physical Signatures in the Drone’s RF Communication," Proc. ACM MobiSys, 2017.</w:t>
      </w:r>
    </w:p>
    <w:p>
      <w:pPr>
        <w:spacing w:after="80" w:line="276"/>
        <w:ind w:left="720" w:hanging="720"/>
      </w:pPr>
      <w:r>
        <w:rPr>
          <w:rFonts w:ascii="Times New Roman" w:cs="Times New Roman" w:eastAsia="Times New Roman" w:hAnsi="Times New Roman"/>
          <w:sz w:val="20"/>
          <w:szCs w:val="20"/>
        </w:rPr>
        <w:t xml:space="preserve">[4] Ezuma, M., et al., "Detection and Classification of UAVs Using RF Fingerprints in the Presence of Wi-Fi and Bluetooth Interference," IEEE Access, vol. 8, 2020.</w:t>
      </w:r>
    </w:p>
    <w:p>
      <w:pPr>
        <w:spacing w:after="80" w:line="276"/>
        <w:ind w:left="720" w:hanging="720"/>
      </w:pPr>
      <w:r>
        <w:rPr>
          <w:rFonts w:ascii="Times New Roman" w:cs="Times New Roman" w:eastAsia="Times New Roman" w:hAnsi="Times New Roman"/>
          <w:sz w:val="20"/>
          <w:szCs w:val="20"/>
        </w:rPr>
        <w:t xml:space="preserve">[5] Ettus Research, "USRP B210 Specifications," https://www.ettus.com/all-products/ub210-kit/</w:t>
      </w:r>
    </w:p>
    <w:p>
      <w:pPr>
        <w:spacing w:after="80" w:line="276"/>
        <w:ind w:left="720" w:hanging="720"/>
      </w:pPr>
      <w:r>
        <w:rPr>
          <w:rFonts w:ascii="Times New Roman" w:cs="Times New Roman" w:eastAsia="Times New Roman" w:hAnsi="Times New Roman"/>
          <w:sz w:val="20"/>
          <w:szCs w:val="20"/>
        </w:rPr>
        <w:t xml:space="preserve">[6] Analog Devices, "AD9361 RF Agile Transceiver," https://www.analog.com/en/products/ad9361.html</w:t>
      </w:r>
    </w:p>
    <w:p>
      <w:pPr>
        <w:spacing w:after="80" w:line="276"/>
        <w:ind w:left="720" w:hanging="720"/>
      </w:pPr>
      <w:r>
        <w:rPr>
          <w:rFonts w:ascii="Times New Roman" w:cs="Times New Roman" w:eastAsia="Times New Roman" w:hAnsi="Times New Roman"/>
          <w:sz w:val="20"/>
          <w:szCs w:val="20"/>
        </w:rPr>
        <w:t xml:space="preserve">[7] Open Drone ID Project, "opendroneid-core-c," https://github.com/opendroneid/opendroneid-core-c</w:t>
      </w:r>
    </w:p>
    <w:p>
      <w:pPr>
        <w:spacing w:after="80" w:line="276"/>
        <w:ind w:left="720" w:hanging="720"/>
      </w:pPr>
      <w:r>
        <w:rPr>
          <w:rFonts w:ascii="Times New Roman" w:cs="Times New Roman" w:eastAsia="Times New Roman" w:hAnsi="Times New Roman"/>
          <w:sz w:val="20"/>
          <w:szCs w:val="20"/>
        </w:rPr>
        <w:t xml:space="preserve">[8] proto17, "DJI DroneID MATLAB Decoder," https://github.com/proto17/dji_droneid</w:t>
      </w:r>
    </w:p>
    <w:p>
      <w:pPr>
        <w:spacing w:after="80" w:line="276"/>
        <w:ind w:left="720" w:hanging="720"/>
      </w:pPr>
      <w:r>
        <w:rPr>
          <w:rFonts w:ascii="Times New Roman" w:cs="Times New Roman" w:eastAsia="Times New Roman" w:hAnsi="Times New Roman"/>
          <w:sz w:val="20"/>
          <w:szCs w:val="20"/>
        </w:rPr>
        <w:t xml:space="preserve">[9] RUB-SysSec, "DroneSecurity — DJI DroneID SDR Receiver," https://github.com/RUB-SysSec/DroneSecurity</w:t>
      </w:r>
    </w:p>
    <w:p>
      <w:pPr>
        <w:spacing w:after="80" w:line="276"/>
        <w:ind w:left="720" w:hanging="720"/>
      </w:pPr>
      <w:r>
        <w:rPr>
          <w:rFonts w:ascii="Times New Roman" w:cs="Times New Roman" w:eastAsia="Times New Roman" w:hAnsi="Times New Roman"/>
          <w:sz w:val="20"/>
          <w:szCs w:val="20"/>
        </w:rPr>
        <w:t xml:space="preserve">[10] IEEE 802.11-2020, "IEEE Standard for Information Technology – Telecommunications and Information Exchange between Systems," 2020.</w:t>
      </w:r>
    </w:p>
    <w:p>
      <w:pPr>
        <w:spacing w:after="80" w:line="276"/>
        <w:ind w:left="720" w:hanging="720"/>
      </w:pPr>
      <w:r>
        <w:rPr>
          <w:rFonts w:ascii="Times New Roman" w:cs="Times New Roman" w:eastAsia="Times New Roman" w:hAnsi="Times New Roman"/>
          <w:sz w:val="20"/>
          <w:szCs w:val="20"/>
        </w:rPr>
        <w:t xml:space="preserve">[11] L-com, "HG2415Y-RSP 15 dBi 2.4 GHz Yagi Antenna Datasheet."</w:t>
      </w:r>
    </w:p>
    <w:p>
      <w:pPr>
        <w:spacing w:after="80" w:line="276"/>
        <w:ind w:left="720" w:hanging="720"/>
      </w:pPr>
      <w:r>
        <w:rPr>
          <w:rFonts w:ascii="Times New Roman" w:cs="Times New Roman" w:eastAsia="Times New Roman" w:hAnsi="Times New Roman"/>
          <w:sz w:val="20"/>
          <w:szCs w:val="20"/>
        </w:rPr>
        <w:t xml:space="preserve">[12] GNU Radio Foundation, "SigMF — Signal Metadata Format Specification," https://github.com/gnuradio/SigMF</w:t>
      </w:r>
    </w:p>
    <w:p>
      <w:pPr>
        <w:spacing w:after="80" w:line="276"/>
        <w:ind w:left="720" w:hanging="720"/>
      </w:pPr>
      <w:r>
        <w:rPr>
          <w:rFonts w:ascii="Times New Roman" w:cs="Times New Roman" w:eastAsia="Times New Roman" w:hAnsi="Times New Roman"/>
          <w:sz w:val="20"/>
          <w:szCs w:val="20"/>
        </w:rPr>
        <w:t xml:space="preserve">[13] Federal Aviation Administration, "Remote Identification of Unmanned Aircraft," 14 CFR Part 89, 2021.</w:t>
      </w:r>
    </w:p>
    <w:p>
      <w:r>
        <w:br w:type="page"/>
      </w:r>
    </w:p>
    <w:p>
      <w:pPr>
        <w:pStyle w:val="Heading1"/>
      </w:pPr>
      <w:r>
        <w:t xml:space="preserve">Appendices</w:t>
      </w:r>
    </w:p>
    <w:p>
      <w:pPr>
        <w:pStyle w:val="Heading2"/>
      </w:pPr>
      <w:r>
        <w:t xml:space="preserve">Appendix A: Hardware Assembly</w:t>
      </w:r>
    </w:p>
    <w:p>
      <w:pPr>
        <w:jc w:val="center"/>
      </w:pPr>
      <w:r>
        <w:drawing>
          <wp:inline distT="0" distB="0" distL="0" distR="0">
            <wp:extent cx="4953000" cy="2447925"/>
            <wp:effectExtent t="0" r="0" b="0" l="0"/>
            <wp:docPr id="1" name="fig8_hardware_photo.png" descr="fig8_hardware_photo.png" title="fig8_hardware_ph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447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 Hardware assembly showing USRP B210, Yagi antenna, pan mount, and host laptop. [INSERT PHOTO]</w:t>
      </w:r>
    </w:p>
    <w:p>
      <w:pPr>
        <w:pStyle w:val="Heading2"/>
      </w:pPr>
      <w:r>
        <w:t xml:space="preserve">Appendix B: Real-Time Spectrum Display</w:t>
      </w:r>
    </w:p>
    <w:p>
      <w:pPr>
        <w:jc w:val="center"/>
      </w:pPr>
      <w:r>
        <w:drawing>
          <wp:inline distT="0" distB="0" distL="0" distR="0">
            <wp:extent cx="4953000" cy="2447925"/>
            <wp:effectExtent t="0" r="0" b="0" l="0"/>
            <wp:docPr id="1" name="fig10_spectrum_screenshot.png" descr="fig10_spectrum_screenshot.png" title="fig10_spectrum_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447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10: Screenshot of the real-time spectrum analyzer during synthetic signal testing. [INSERT SCREENSHOT]</w:t>
      </w:r>
    </w:p>
    <w:p>
      <w:pPr>
        <w:pStyle w:val="Heading2"/>
      </w:pPr>
      <w:r>
        <w:t xml:space="preserve">Appendix C: Configuration File (config.yaml)</w:t>
      </w:r>
    </w:p>
    <w:p>
      <w:pPr>
        <w:spacing w:after="120" w:line="276"/>
      </w:pPr>
      <w:r>
        <w:rPr>
          <w:rFonts w:ascii="Times New Roman" w:cs="Times New Roman" w:eastAsia="Times New Roman" w:hAnsi="Times New Roman"/>
          <w:sz w:val="22"/>
          <w:szCs w:val="22"/>
        </w:rPr>
        <w:t xml:space="preserve">The complete system configuration file is maintained in the project repository at config.yaml. It defines all SDR parameters, DSP settings, antenna specifications, scan modes, and detection thresholds. No values are hardcoded in the source code. See the project repository for the current version.</w:t>
      </w:r>
    </w:p>
    <w:p>
      <w:pPr>
        <w:pStyle w:val="Heading2"/>
      </w:pPr>
      <w:r>
        <w:t xml:space="preserve">Appendix D: Mermaid Diagram Source Files</w:t>
      </w:r>
    </w:p>
    <w:p>
      <w:pPr>
        <w:spacing w:after="120" w:line="276"/>
      </w:pPr>
      <w:r>
        <w:rPr>
          <w:rFonts w:ascii="Times New Roman" w:cs="Times New Roman" w:eastAsia="Times New Roman" w:hAnsi="Times New Roman"/>
          <w:sz w:val="22"/>
          <w:szCs w:val="22"/>
        </w:rPr>
        <w:t xml:space="preserve">Mermaid-format source files for all system diagrams are provided in the diagrams/mermaid_src/ directory. These can be rendered using the Mermaid CLI (mmdc), the Mermaid Live Editor (mermaid.live), or any Mermaid-compatible tool. Source files included:</w:t>
      </w:r>
    </w:p>
    <w:p>
      <w:pPr>
        <w:pStyle w:val="ListParagraph"/>
        <w:numPr>
          <w:ilvl w:val="0"/>
          <w:numId w:val="2"/>
        </w:numPr>
        <w:spacing w:after="60" w:line="276"/>
      </w:pPr>
      <w:r>
        <w:rPr>
          <w:rFonts w:ascii="Times New Roman" w:cs="Times New Roman" w:eastAsia="Times New Roman" w:hAnsi="Times New Roman"/>
          <w:sz w:val="22"/>
          <w:szCs w:val="22"/>
        </w:rPr>
        <w:t xml:space="preserve">fig1_system_architecture.mermaid — Full hardware/software block diagram</w:t>
      </w:r>
    </w:p>
    <w:p>
      <w:pPr>
        <w:pStyle w:val="ListParagraph"/>
        <w:numPr>
          <w:ilvl w:val="0"/>
          <w:numId w:val="2"/>
        </w:numPr>
        <w:spacing w:after="60" w:line="276"/>
      </w:pPr>
      <w:r>
        <w:rPr>
          <w:rFonts w:ascii="Times New Roman" w:cs="Times New Roman" w:eastAsia="Times New Roman" w:hAnsi="Times New Roman"/>
          <w:sz w:val="22"/>
          <w:szCs w:val="22"/>
        </w:rPr>
        <w:t xml:space="preserve">fig2_dsp_pipeline.mermaid — Signal processing flow</w:t>
      </w:r>
    </w:p>
    <w:p>
      <w:pPr>
        <w:pStyle w:val="ListParagraph"/>
        <w:numPr>
          <w:ilvl w:val="0"/>
          <w:numId w:val="2"/>
        </w:numPr>
        <w:spacing w:after="60" w:line="276"/>
      </w:pPr>
      <w:r>
        <w:rPr>
          <w:rFonts w:ascii="Times New Roman" w:cs="Times New Roman" w:eastAsia="Times New Roman" w:hAnsi="Times New Roman"/>
          <w:sz w:val="22"/>
          <w:szCs w:val="22"/>
        </w:rPr>
        <w:t xml:space="preserve">fig3_antenna_state_machine.mermaid — IDLE/SCAN/CUE/TRACK state diagram</w:t>
      </w:r>
    </w:p>
    <w:p>
      <w:pPr>
        <w:pStyle w:val="ListParagraph"/>
        <w:numPr>
          <w:ilvl w:val="0"/>
          <w:numId w:val="2"/>
        </w:numPr>
        <w:spacing w:after="60" w:line="276"/>
      </w:pPr>
      <w:r>
        <w:rPr>
          <w:rFonts w:ascii="Times New Roman" w:cs="Times New Roman" w:eastAsia="Times New Roman" w:hAnsi="Times New Roman"/>
          <w:sz w:val="22"/>
          <w:szCs w:val="22"/>
        </w:rPr>
        <w:t xml:space="preserve">fig4_function_decomposition.mermaid — System function tree</w:t>
      </w:r>
    </w:p>
    <w:p>
      <w:pPr>
        <w:pStyle w:val="ListParagraph"/>
        <w:numPr>
          <w:ilvl w:val="0"/>
          <w:numId w:val="2"/>
        </w:numPr>
        <w:spacing w:after="60" w:line="276"/>
      </w:pPr>
      <w:r>
        <w:rPr>
          <w:rFonts w:ascii="Times New Roman" w:cs="Times New Roman" w:eastAsia="Times New Roman" w:hAnsi="Times New Roman"/>
          <w:sz w:val="22"/>
          <w:szCs w:val="22"/>
        </w:rPr>
        <w:t xml:space="preserve">fig7_gantt_chart.mermaid — Project timeline Gantt chart</w:t>
      </w:r>
    </w:p>
    <w:p>
      <w:pPr>
        <w:pStyle w:val="Heading2"/>
      </w:pPr>
      <w:r>
        <w:t xml:space="preserve">Appendix E: Manufacturer Datasheets</w:t>
      </w:r>
    </w:p>
    <w:p>
      <w:pPr>
        <w:spacing w:after="120" w:line="276"/>
      </w:pPr>
      <w:r>
        <w:rPr>
          <w:rFonts w:ascii="Times New Roman" w:cs="Times New Roman" w:eastAsia="Times New Roman" w:hAnsi="Times New Roman"/>
          <w:sz w:val="22"/>
          <w:szCs w:val="22"/>
        </w:rPr>
        <w:t xml:space="preserve">Relevant manufacturer datasheets are maintained in the docs/hardware/datasheets/ directory:</w:t>
      </w:r>
    </w:p>
    <w:p>
      <w:pPr>
        <w:pStyle w:val="ListParagraph"/>
        <w:numPr>
          <w:ilvl w:val="0"/>
          <w:numId w:val="2"/>
        </w:numPr>
        <w:spacing w:after="60" w:line="276"/>
      </w:pPr>
      <w:r>
        <w:rPr>
          <w:rFonts w:ascii="Times New Roman" w:cs="Times New Roman" w:eastAsia="Times New Roman" w:hAnsi="Times New Roman"/>
          <w:sz w:val="22"/>
          <w:szCs w:val="22"/>
        </w:rPr>
        <w:t xml:space="preserve">USRP_B210_datasheet.md — Ettus Research USRP B210 specifications</w:t>
      </w:r>
    </w:p>
    <w:p>
      <w:pPr>
        <w:pStyle w:val="ListParagraph"/>
        <w:numPr>
          <w:ilvl w:val="0"/>
          <w:numId w:val="2"/>
        </w:numPr>
        <w:spacing w:after="60" w:line="276"/>
      </w:pPr>
      <w:r>
        <w:rPr>
          <w:rFonts w:ascii="Times New Roman" w:cs="Times New Roman" w:eastAsia="Times New Roman" w:hAnsi="Times New Roman"/>
          <w:sz w:val="22"/>
          <w:szCs w:val="22"/>
        </w:rPr>
        <w:t xml:space="preserve">L-com_HG2415Y-RSP_datasheet.md — L-com 15 dBi Yagi antenna</w:t>
      </w:r>
    </w:p>
    <w:p>
      <w:pPr>
        <w:pStyle w:val="ListParagraph"/>
        <w:numPr>
          <w:ilvl w:val="0"/>
          <w:numId w:val="2"/>
        </w:numPr>
        <w:spacing w:after="60" w:line="276"/>
      </w:pPr>
      <w:r>
        <w:rPr>
          <w:rFonts w:ascii="Times New Roman" w:cs="Times New Roman" w:eastAsia="Times New Roman" w:hAnsi="Times New Roman"/>
          <w:sz w:val="22"/>
          <w:szCs w:val="22"/>
        </w:rPr>
        <w:t xml:space="preserve">PCB_Yagi_B0BWM9X2HJ_datasheet.md — PCB Yagi test antenna</w:t>
      </w:r>
    </w:p>
    <w:p>
      <w:pPr>
        <w:pStyle w:val="ListParagraph"/>
        <w:numPr>
          <w:ilvl w:val="0"/>
          <w:numId w:val="2"/>
        </w:numPr>
        <w:spacing w:after="60" w:line="276"/>
      </w:pPr>
      <w:r>
        <w:rPr>
          <w:rFonts w:ascii="Times New Roman" w:cs="Times New Roman" w:eastAsia="Times New Roman" w:hAnsi="Times New Roman"/>
          <w:sz w:val="22"/>
          <w:szCs w:val="22"/>
        </w:rPr>
        <w:t xml:space="preserve">BPF_2401_datasheet.md — 2.4 GHz bandpass filter</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SENTINEL — Passive RF Drone Detection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SENTINEL — Passive RF Drone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4a905df4d8e2431bf925830d8328566ffda2f62.png"/><Relationship Id="rId12" Type="http://schemas.openxmlformats.org/officeDocument/2006/relationships/image" Target="media/5720aa9cae500b66e1cd53fc4ffdf48170f5a198.png"/><Relationship Id="rId13" Type="http://schemas.openxmlformats.org/officeDocument/2006/relationships/image" Target="media/a66aefe1a573f59207d42bcc2785371dbfc176fb.png"/><Relationship Id="rId14" Type="http://schemas.openxmlformats.org/officeDocument/2006/relationships/image" Target="media/7faa202d4e2e2585c5c85ac8e9bb865ac345a42a.png"/><Relationship Id="rId15" Type="http://schemas.openxmlformats.org/officeDocument/2006/relationships/image" Target="media/51d64f5f9b0d5687d4994b993e283796619a9984.png"/><Relationship Id="rId16" Type="http://schemas.openxmlformats.org/officeDocument/2006/relationships/image" Target="media/281137d4fb572a9a740fd1d2a92d452346c1b993.png"/><Relationship Id="rId17" Type="http://schemas.openxmlformats.org/officeDocument/2006/relationships/image" Target="media/f586ef3de3dd4edaa3c02c1ce8e74a2722e37bb8.png"/><Relationship Id="rId18" Type="http://schemas.openxmlformats.org/officeDocument/2006/relationships/image" Target="media/ebe4e56384e101e746699a451d630b5abb092e80.png"/><Relationship Id="rId19" Type="http://schemas.openxmlformats.org/officeDocument/2006/relationships/image" Target="media/b79e36c510e2e4abd89bb36afac59f2cef0b3184.png"/><Relationship Id="rId20" Type="http://schemas.openxmlformats.org/officeDocument/2006/relationships/image" Target="media/3e0c8d3e7392e4f63e51d6d1547684e8f10fcdb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2026-03-18T23:38:36.696Z</dcterms:created>
  <dcterms:modified xsi:type="dcterms:W3CDTF">2026-03-18T23:38:36.696Z</dcterms:modified>
</cp:coreProperties>
</file>

<file path=docProps/custom.xml><?xml version="1.0" encoding="utf-8"?>
<Properties xmlns="http://schemas.openxmlformats.org/officeDocument/2006/custom-properties" xmlns:vt="http://schemas.openxmlformats.org/officeDocument/2006/docPropsVTypes"/>
</file>