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0326A" w14:textId="604CDF0D" w:rsidR="00AD7BB7" w:rsidRDefault="00AD7BB7">
      <w:r>
        <w:rPr>
          <w:rFonts w:hint="eastAsia"/>
        </w:rPr>
        <w:t>全天候策略</w:t>
      </w:r>
    </w:p>
    <w:p w14:paraId="6355071E" w14:textId="5972041A" w:rsidR="00AD7BB7" w:rsidRDefault="00AD7BB7">
      <w:r>
        <w:rPr>
          <w:rFonts w:hint="eastAsia"/>
        </w:rPr>
        <w:t>我现在要构建一个中国资产ETF的全天候策略，基于宏观象限风险平价来实现。</w:t>
      </w:r>
    </w:p>
    <w:p w14:paraId="08A6B822" w14:textId="77777777" w:rsidR="000248A1" w:rsidRPr="000248A1" w:rsidRDefault="000248A1" w:rsidP="000248A1">
      <w:r w:rsidRPr="000248A1">
        <w:t>天候策略：宏观象限风险平价</w:t>
      </w:r>
    </w:p>
    <w:p w14:paraId="7EF2B50F" w14:textId="77777777" w:rsidR="000248A1" w:rsidRPr="000248A1" w:rsidRDefault="000248A1" w:rsidP="000248A1">
      <w:r w:rsidRPr="000248A1">
        <w:t>借鉴因子风险平价的框架和桥水全天候策略的实践，中国版全天候策略的构建遵循以下三</w:t>
      </w:r>
    </w:p>
    <w:p w14:paraId="4018EFF1" w14:textId="77777777" w:rsidR="000248A1" w:rsidRPr="000248A1" w:rsidRDefault="000248A1" w:rsidP="000248A1">
      <w:proofErr w:type="gramStart"/>
      <w:r w:rsidRPr="000248A1">
        <w:t>个</w:t>
      </w:r>
      <w:proofErr w:type="gramEnd"/>
      <w:r w:rsidRPr="000248A1">
        <w:t>核心步骤：(1) 宏观象限划分与资产选择；(2)象限（因子）风险度量；(3) 象限风险平价。</w:t>
      </w:r>
    </w:p>
    <w:p w14:paraId="17B9D52F" w14:textId="77777777" w:rsidR="000248A1" w:rsidRPr="000248A1" w:rsidRDefault="000248A1" w:rsidP="000248A1">
      <w:r w:rsidRPr="000248A1">
        <w:t>宏观象限划分与资产选择</w:t>
      </w:r>
    </w:p>
    <w:p w14:paraId="4F341D60" w14:textId="77777777" w:rsidR="000248A1" w:rsidRPr="000248A1" w:rsidRDefault="000248A1" w:rsidP="000248A1">
      <w:r w:rsidRPr="000248A1">
        <w:t>我们在划分宏观象限时并未作本土化调整，和桥水全天候策略一样将宏观环境划分为增长</w:t>
      </w:r>
    </w:p>
    <w:p w14:paraId="1D57D9A6" w14:textId="77777777" w:rsidR="000248A1" w:rsidRPr="000248A1" w:rsidRDefault="000248A1" w:rsidP="000248A1">
      <w:r w:rsidRPr="000248A1">
        <w:t>超预期、增长不及预期、</w:t>
      </w:r>
      <w:proofErr w:type="gramStart"/>
      <w:r w:rsidRPr="000248A1">
        <w:t>通胀超</w:t>
      </w:r>
      <w:proofErr w:type="gramEnd"/>
      <w:r w:rsidRPr="000248A1">
        <w:t>预期和通胀不及</w:t>
      </w:r>
      <w:proofErr w:type="gramStart"/>
      <w:r w:rsidRPr="000248A1">
        <w:t>预期四</w:t>
      </w:r>
      <w:proofErr w:type="gramEnd"/>
      <w:r w:rsidRPr="000248A1">
        <w:t>象限。原因主要有两点：一是桥水</w:t>
      </w:r>
    </w:p>
    <w:p w14:paraId="4E456CC0" w14:textId="77777777" w:rsidR="000248A1" w:rsidRPr="000248A1" w:rsidRDefault="000248A1" w:rsidP="000248A1">
      <w:r w:rsidRPr="000248A1">
        <w:t>选择宏观象限的逻辑根植于资产定价理论，理论具有普适性。二是前期报告</w:t>
      </w:r>
      <w:proofErr w:type="gramStart"/>
      <w:r w:rsidRPr="000248A1">
        <w:t>《</w:t>
      </w:r>
      <w:proofErr w:type="gramEnd"/>
      <w:r w:rsidRPr="000248A1">
        <w:t>国内宏观净</w:t>
      </w:r>
    </w:p>
    <w:p w14:paraId="5869EB79" w14:textId="77777777" w:rsidR="000248A1" w:rsidRPr="000248A1" w:rsidRDefault="000248A1" w:rsidP="000248A1">
      <w:r w:rsidRPr="000248A1">
        <w:t>预期差与大类资产配置</w:t>
      </w:r>
      <w:proofErr w:type="gramStart"/>
      <w:r w:rsidRPr="000248A1">
        <w:t>》</w:t>
      </w:r>
      <w:proofErr w:type="gramEnd"/>
      <w:r w:rsidRPr="000248A1">
        <w:t>（2024-08-15）中构建的国内增长和通胀净预期</w:t>
      </w:r>
      <w:proofErr w:type="gramStart"/>
      <w:r w:rsidRPr="000248A1">
        <w:t>差指标</w:t>
      </w:r>
      <w:proofErr w:type="gramEnd"/>
      <w:r w:rsidRPr="000248A1">
        <w:t>对主要的大</w:t>
      </w:r>
    </w:p>
    <w:p w14:paraId="727B661C" w14:textId="77777777" w:rsidR="000248A1" w:rsidRPr="000248A1" w:rsidRDefault="000248A1" w:rsidP="000248A1">
      <w:r w:rsidRPr="000248A1">
        <w:t>类资产都具备显著的择时效果，这表明增长和通胀的确是国内大类资产的核心驱动因素。</w:t>
      </w:r>
    </w:p>
    <w:p w14:paraId="03092242" w14:textId="77777777" w:rsidR="000248A1" w:rsidRPr="000248A1" w:rsidRDefault="000248A1" w:rsidP="000248A1">
      <w:r w:rsidRPr="000248A1">
        <w:t>在各象限内，我们主要从宏观逻辑出发进行定性筛选，辅以前期定量研究的积累，最终选</w:t>
      </w:r>
    </w:p>
    <w:p w14:paraId="1073E89D" w14:textId="77777777" w:rsidR="000248A1" w:rsidRPr="000248A1" w:rsidRDefault="000248A1" w:rsidP="000248A1">
      <w:r w:rsidRPr="000248A1">
        <w:t>择的资产及理由如下：</w:t>
      </w:r>
    </w:p>
    <w:p w14:paraId="49AF9013" w14:textId="77777777" w:rsidR="000248A1" w:rsidRPr="000248A1" w:rsidRDefault="000248A1" w:rsidP="000248A1">
      <w:r w:rsidRPr="000248A1">
        <w:t>1） 增长超预期：股票、商品。经济超预期将提高企业的盈利和现金流，推升股票价值；经</w:t>
      </w:r>
    </w:p>
    <w:p w14:paraId="6F370CDB" w14:textId="77777777" w:rsidR="000248A1" w:rsidRPr="000248A1" w:rsidRDefault="000248A1" w:rsidP="000248A1">
      <w:r w:rsidRPr="000248A1">
        <w:t>济活动活跃增加需求，驱动商品价格上涨。</w:t>
      </w:r>
    </w:p>
    <w:p w14:paraId="2DF5133D" w14:textId="77777777" w:rsidR="000248A1" w:rsidRPr="000248A1" w:rsidRDefault="000248A1" w:rsidP="000248A1">
      <w:r w:rsidRPr="000248A1">
        <w:t>2） 增长不及预期：债券、黄金。经济下行引发避险情绪，资金流向相对稳定的债券；黄金</w:t>
      </w:r>
    </w:p>
    <w:p w14:paraId="2DEFD15F" w14:textId="77777777" w:rsidR="000248A1" w:rsidRPr="000248A1" w:rsidRDefault="000248A1" w:rsidP="000248A1">
      <w:r w:rsidRPr="000248A1">
        <w:t>作为传统避险资产，在不确定性增加时受青睐。</w:t>
      </w:r>
    </w:p>
    <w:p w14:paraId="643FE48E" w14:textId="77777777" w:rsidR="000248A1" w:rsidRPr="000248A1" w:rsidRDefault="000248A1" w:rsidP="000248A1">
      <w:r w:rsidRPr="000248A1">
        <w:t xml:space="preserve">3） </w:t>
      </w:r>
      <w:proofErr w:type="gramStart"/>
      <w:r w:rsidRPr="000248A1">
        <w:t>通胀超</w:t>
      </w:r>
      <w:proofErr w:type="gramEnd"/>
      <w:r w:rsidRPr="000248A1">
        <w:t>预期：商品、黄金。</w:t>
      </w:r>
      <w:proofErr w:type="gramStart"/>
      <w:r w:rsidRPr="000248A1">
        <w:t>通胀超</w:t>
      </w:r>
      <w:proofErr w:type="gramEnd"/>
      <w:r w:rsidRPr="000248A1">
        <w:t>预期将削弱货币购买力，商品（实物资产）是有效抗</w:t>
      </w:r>
    </w:p>
    <w:p w14:paraId="022FFA86" w14:textId="77777777" w:rsidR="000248A1" w:rsidRPr="000248A1" w:rsidRDefault="000248A1" w:rsidP="000248A1">
      <w:r w:rsidRPr="000248A1">
        <w:t>通胀工具；黄金亦是抵御通胀和货币贬值的良好对冲。</w:t>
      </w:r>
    </w:p>
    <w:p w14:paraId="05AA9F7B" w14:textId="77777777" w:rsidR="000248A1" w:rsidRPr="000248A1" w:rsidRDefault="000248A1" w:rsidP="000248A1">
      <w:r w:rsidRPr="000248A1">
        <w:lastRenderedPageBreak/>
        <w:t>4） 通胀不及预期：债券、黄金、高股息股票。通胀不及预期可能促使宽松货币政策，利好</w:t>
      </w:r>
    </w:p>
    <w:p w14:paraId="7DB4D905" w14:textId="77777777" w:rsidR="000248A1" w:rsidRPr="000248A1" w:rsidRDefault="000248A1" w:rsidP="000248A1">
      <w:r w:rsidRPr="000248A1">
        <w:t>债券；黄金在通缩担忧下具避险属性；高股息股票因其稳定现金流和实际购买力提升而</w:t>
      </w:r>
    </w:p>
    <w:p w14:paraId="1DF69383" w14:textId="77777777" w:rsidR="000248A1" w:rsidRPr="000248A1" w:rsidRDefault="000248A1" w:rsidP="000248A1">
      <w:r w:rsidRPr="000248A1">
        <w:t>在低通胀环境中更具吸引力。</w:t>
      </w:r>
    </w:p>
    <w:p w14:paraId="1785D924" w14:textId="77777777" w:rsidR="000248A1" w:rsidRPr="000248A1" w:rsidRDefault="000248A1" w:rsidP="000248A1">
      <w:r w:rsidRPr="000248A1">
        <w:t>具体到细分类别时，我们以国内 ETF 作为备选资产池进行筛选，</w:t>
      </w:r>
      <w:proofErr w:type="gramStart"/>
      <w:r w:rsidRPr="000248A1">
        <w:t>从类内</w:t>
      </w:r>
      <w:proofErr w:type="gramEnd"/>
      <w:r w:rsidRPr="000248A1">
        <w:t>资产分散性、ETF</w:t>
      </w:r>
    </w:p>
    <w:p w14:paraId="04E7F7AC" w14:textId="77777777" w:rsidR="000248A1" w:rsidRPr="000248A1" w:rsidRDefault="000248A1" w:rsidP="000248A1">
      <w:r w:rsidRPr="000248A1">
        <w:t>代表性、流动性和数据可得性角度出发，最终确定了以下股票、债券、商品和黄金的 ETF</w:t>
      </w:r>
    </w:p>
    <w:p w14:paraId="521540CC" w14:textId="77777777" w:rsidR="000248A1" w:rsidRPr="000248A1" w:rsidRDefault="000248A1" w:rsidP="000248A1">
      <w:r w:rsidRPr="000248A1">
        <w:t>配置方案：</w:t>
      </w:r>
    </w:p>
    <w:p w14:paraId="1463BE9C" w14:textId="77777777" w:rsidR="000248A1" w:rsidRPr="000248A1" w:rsidRDefault="000248A1" w:rsidP="000248A1">
      <w:r w:rsidRPr="000248A1">
        <w:t>1) 股票：沪深 300ETF（510300.SH）、中证 1000ETF（512100.SH）</w:t>
      </w:r>
    </w:p>
    <w:p w14:paraId="51941ABF" w14:textId="77777777" w:rsidR="000248A1" w:rsidRPr="000248A1" w:rsidRDefault="000248A1" w:rsidP="000248A1">
      <w:r w:rsidRPr="000248A1">
        <w:t>2) 高股息股票：</w:t>
      </w:r>
      <w:proofErr w:type="gramStart"/>
      <w:r w:rsidRPr="000248A1">
        <w:t>红利低波</w:t>
      </w:r>
      <w:proofErr w:type="gramEnd"/>
      <w:r w:rsidRPr="000248A1">
        <w:t xml:space="preserve"> ETF（512890.SH）</w:t>
      </w:r>
    </w:p>
    <w:p w14:paraId="39D2F471" w14:textId="77777777" w:rsidR="000248A1" w:rsidRPr="000248A1" w:rsidRDefault="000248A1" w:rsidP="000248A1">
      <w:r w:rsidRPr="000248A1">
        <w:t>3) 债券：十年国债 ETF（511260.SH）、三十年国债 ETF（511090.SH）</w:t>
      </w:r>
    </w:p>
    <w:p w14:paraId="6CF871D5" w14:textId="77777777" w:rsidR="000248A1" w:rsidRPr="000248A1" w:rsidRDefault="000248A1" w:rsidP="000248A1">
      <w:r w:rsidRPr="000248A1">
        <w:t>4) 商品：有色 ETF（159980.SZ）、能化 ETF（159981.SZ）、豆</w:t>
      </w:r>
      <w:proofErr w:type="gramStart"/>
      <w:r w:rsidRPr="000248A1">
        <w:t>粕</w:t>
      </w:r>
      <w:proofErr w:type="gramEnd"/>
      <w:r w:rsidRPr="000248A1">
        <w:t xml:space="preserve"> ETF（159985.SZ）</w:t>
      </w:r>
    </w:p>
    <w:p w14:paraId="507B7797" w14:textId="1233EFF8" w:rsidR="000248A1" w:rsidRDefault="000248A1" w:rsidP="000248A1">
      <w:r w:rsidRPr="000248A1">
        <w:t>5) 黄金：黄金 ETF（518880.SH）</w:t>
      </w:r>
    </w:p>
    <w:p w14:paraId="2B12DF7A" w14:textId="77777777" w:rsidR="000248A1" w:rsidRDefault="000248A1" w:rsidP="000248A1"/>
    <w:p w14:paraId="35F3A6CB" w14:textId="34E52D97" w:rsidR="000248A1" w:rsidRDefault="000248A1" w:rsidP="000248A1">
      <w:r>
        <w:rPr>
          <w:rFonts w:hint="eastAsia"/>
        </w:rPr>
        <w:t>经济增长超预期：沪深300ETF，中证1000ETF，</w:t>
      </w:r>
      <w:r w:rsidRPr="000248A1">
        <w:t>有色 ETF（159980.SZ）、能化 ETF（159981.SZ）、豆</w:t>
      </w:r>
      <w:proofErr w:type="gramStart"/>
      <w:r w:rsidRPr="000248A1">
        <w:t>粕</w:t>
      </w:r>
      <w:proofErr w:type="gramEnd"/>
      <w:r w:rsidRPr="000248A1">
        <w:t xml:space="preserve"> ETF（159985.SZ）</w:t>
      </w:r>
    </w:p>
    <w:p w14:paraId="044DF382" w14:textId="4871BF63" w:rsidR="000248A1" w:rsidRDefault="000248A1" w:rsidP="000248A1">
      <w:r>
        <w:rPr>
          <w:rFonts w:hint="eastAsia"/>
        </w:rPr>
        <w:t>通货膨胀超预期：</w:t>
      </w:r>
      <w:r w:rsidRPr="000248A1">
        <w:t>有色 ETF（159980.SZ）、能化 ETF（159981.SZ）、豆</w:t>
      </w:r>
      <w:proofErr w:type="gramStart"/>
      <w:r w:rsidRPr="000248A1">
        <w:t>粕</w:t>
      </w:r>
      <w:proofErr w:type="gramEnd"/>
      <w:r w:rsidRPr="000248A1">
        <w:t xml:space="preserve"> ETF（159985.SZ）</w:t>
      </w:r>
      <w:r>
        <w:rPr>
          <w:rFonts w:hint="eastAsia"/>
        </w:rPr>
        <w:t>、</w:t>
      </w:r>
      <w:r w:rsidRPr="000248A1">
        <w:t>黄金 ETF（518880.SH）</w:t>
      </w:r>
    </w:p>
    <w:p w14:paraId="05C14C78" w14:textId="77777777" w:rsidR="000248A1" w:rsidRPr="000248A1" w:rsidRDefault="000248A1" w:rsidP="000248A1">
      <w:r>
        <w:rPr>
          <w:rFonts w:hint="eastAsia"/>
        </w:rPr>
        <w:t>经济增长不及预期：</w:t>
      </w:r>
      <w:r w:rsidRPr="000248A1">
        <w:t>十年国债 ETF（511260.SH）、三十年国债 ETF（511090.SH）</w:t>
      </w:r>
      <w:r>
        <w:rPr>
          <w:rFonts w:hint="eastAsia"/>
        </w:rPr>
        <w:t>、</w:t>
      </w:r>
      <w:r w:rsidRPr="000248A1">
        <w:t>黄金 ETF（518880.SH）</w:t>
      </w:r>
      <w:r>
        <w:rPr>
          <w:rFonts w:hint="eastAsia"/>
        </w:rPr>
        <w:t>、</w:t>
      </w:r>
      <w:proofErr w:type="gramStart"/>
      <w:r w:rsidRPr="000248A1">
        <w:t>红利低波</w:t>
      </w:r>
      <w:proofErr w:type="gramEnd"/>
      <w:r w:rsidRPr="000248A1">
        <w:t xml:space="preserve"> ETF（512890.SH）</w:t>
      </w:r>
    </w:p>
    <w:p w14:paraId="6DE20ADB" w14:textId="46D26752" w:rsidR="000248A1" w:rsidRDefault="000248A1" w:rsidP="000248A1">
      <w:r>
        <w:rPr>
          <w:rFonts w:hint="eastAsia"/>
        </w:rPr>
        <w:t>通货膨胀不及预期：</w:t>
      </w:r>
      <w:r w:rsidRPr="000248A1">
        <w:t>十年国债 ETF（511260.SH）、三十年国债 ETF（511090.SH）</w:t>
      </w:r>
      <w:r>
        <w:rPr>
          <w:rFonts w:hint="eastAsia"/>
        </w:rPr>
        <w:t>、</w:t>
      </w:r>
      <w:r w:rsidRPr="000248A1">
        <w:t>黄金 ETF（518880.SH）</w:t>
      </w:r>
    </w:p>
    <w:p w14:paraId="4F916DE8" w14:textId="77777777" w:rsidR="000248A1" w:rsidRPr="000248A1" w:rsidRDefault="000248A1" w:rsidP="000248A1">
      <w:r w:rsidRPr="000248A1">
        <w:t>象限风险度量</w:t>
      </w:r>
    </w:p>
    <w:p w14:paraId="3B42B577" w14:textId="2461AAAE" w:rsidR="000248A1" w:rsidRDefault="000248A1" w:rsidP="000248A1">
      <w:r w:rsidRPr="000248A1">
        <w:t xml:space="preserve">我们不使用量化模型精确刻画各资产对宏观象限的因子暴露，而是直接以各象限内资产的等权重组合作为该象限的“象限（因子）组合”，并用“象限组合”的 </w:t>
      </w:r>
      <w:r w:rsidRPr="000248A1">
        <w:rPr>
          <w:b/>
          <w:bCs/>
        </w:rPr>
        <w:t>EWMA</w:t>
      </w:r>
      <w:r w:rsidRPr="000248A1">
        <w:t>（指数加权移动平均）半协方差刻画组合的下行风险。因为宏观因子是弱因子，与资产间的关系并非简单线性。过度追求量化精度可能引入“精确的错误”。此外，我们在风险度量阶段不进行任何杠杆调整。因为根据“预期收益率”调整杠杆涉及复杂的收益估计，易引入不确定性。杠杆调整可以在风险平价步骤之后进行，以确保风险度量阶段的独立稳</w:t>
      </w:r>
      <w:r w:rsidRPr="000248A1">
        <w:lastRenderedPageBreak/>
        <w:t>健</w:t>
      </w:r>
      <w:r w:rsidR="007D312D">
        <w:rPr>
          <w:rFonts w:hint="eastAsia"/>
        </w:rPr>
        <w:t>。</w:t>
      </w:r>
    </w:p>
    <w:p w14:paraId="34FDDBB8" w14:textId="77777777" w:rsidR="007D312D" w:rsidRPr="007D312D" w:rsidRDefault="007D312D" w:rsidP="007D312D">
      <w:r>
        <w:rPr>
          <w:rFonts w:hint="eastAsia"/>
        </w:rPr>
        <w:t>策略核心：</w:t>
      </w:r>
      <w:r w:rsidRPr="007D312D">
        <w:t>各象限风险平价</w:t>
      </w:r>
    </w:p>
    <w:p w14:paraId="09E2E55C" w14:textId="77777777" w:rsidR="007D312D" w:rsidRPr="007D312D" w:rsidRDefault="007D312D" w:rsidP="007D312D">
      <w:r w:rsidRPr="007D312D">
        <w:t>中国版全天候</w:t>
      </w:r>
      <w:proofErr w:type="gramStart"/>
      <w:r w:rsidRPr="007D312D">
        <w:t>策略回测的</w:t>
      </w:r>
      <w:proofErr w:type="gramEnd"/>
      <w:r w:rsidRPr="007D312D">
        <w:t>具体设置如下：</w:t>
      </w:r>
    </w:p>
    <w:p w14:paraId="6085A0C9" w14:textId="77777777" w:rsidR="007D312D" w:rsidRPr="007D312D" w:rsidRDefault="007D312D" w:rsidP="007D312D">
      <w:r w:rsidRPr="007D312D">
        <w:t xml:space="preserve">1) </w:t>
      </w:r>
      <w:proofErr w:type="gramStart"/>
      <w:r w:rsidRPr="007D312D">
        <w:t>回测期</w:t>
      </w:r>
      <w:proofErr w:type="gramEnd"/>
      <w:r w:rsidRPr="007D312D">
        <w:t>：2013-12-31 至 2025-04-30</w:t>
      </w:r>
    </w:p>
    <w:p w14:paraId="017618DD" w14:textId="77777777" w:rsidR="007D312D" w:rsidRPr="007D312D" w:rsidRDefault="007D312D" w:rsidP="007D312D">
      <w:r w:rsidRPr="007D312D">
        <w:t>2) 资产池：3 种股票资产，2 种债券资产，4 种商品资产</w:t>
      </w:r>
    </w:p>
    <w:p w14:paraId="2AA48198" w14:textId="77777777" w:rsidR="007D312D" w:rsidRPr="007D312D" w:rsidRDefault="007D312D" w:rsidP="007D312D">
      <w:r w:rsidRPr="007D312D">
        <w:t xml:space="preserve">3) </w:t>
      </w:r>
      <w:proofErr w:type="gramStart"/>
      <w:r w:rsidRPr="007D312D">
        <w:t>调仓频率</w:t>
      </w:r>
      <w:proofErr w:type="gramEnd"/>
      <w:r w:rsidRPr="007D312D">
        <w:t>：月频</w:t>
      </w:r>
    </w:p>
    <w:p w14:paraId="040C7D9D" w14:textId="77777777" w:rsidR="007D312D" w:rsidRPr="007D312D" w:rsidRDefault="007D312D" w:rsidP="007D312D">
      <w:r w:rsidRPr="007D312D">
        <w:t>4) 费率：单边万分之五</w:t>
      </w:r>
    </w:p>
    <w:p w14:paraId="6E3BA365" w14:textId="77777777" w:rsidR="007D312D" w:rsidRPr="007D312D" w:rsidRDefault="007D312D" w:rsidP="007D312D">
      <w:r w:rsidRPr="007D312D">
        <w:t>5) 全天候策略：(1) 使用四象限等权构建的“象限组合”的 EWMA 半协方差矩阵作为风</w:t>
      </w:r>
    </w:p>
    <w:p w14:paraId="00F85A76" w14:textId="77777777" w:rsidR="007D312D" w:rsidRPr="007D312D" w:rsidRDefault="007D312D" w:rsidP="007D312D">
      <w:r w:rsidRPr="007D312D">
        <w:t>险输入；(2) 各象限风险平价得到象限权重；(3) 象限内资产等权。</w:t>
      </w:r>
    </w:p>
    <w:p w14:paraId="3DCE3736" w14:textId="52B30701" w:rsidR="007D312D" w:rsidRDefault="007D312D" w:rsidP="007D312D">
      <w:r w:rsidRPr="007D312D">
        <w:t>6) 资产风险平价策略：所有资产风险平价得到资产权重</w:t>
      </w:r>
    </w:p>
    <w:p w14:paraId="0AA561A6" w14:textId="77777777" w:rsidR="007D312D" w:rsidRDefault="007D312D" w:rsidP="007D312D"/>
    <w:p w14:paraId="601EEE8F" w14:textId="18995199" w:rsidR="007D312D" w:rsidRDefault="007D312D" w:rsidP="007D312D">
      <w:r>
        <w:rPr>
          <w:rFonts w:hint="eastAsia"/>
        </w:rPr>
        <w:t>请帮我构建这个策略。</w:t>
      </w:r>
    </w:p>
    <w:p w14:paraId="34196455" w14:textId="30BADF6B" w:rsidR="007D312D" w:rsidRPr="007D312D" w:rsidRDefault="007D312D" w:rsidP="007D312D">
      <w:pPr>
        <w:rPr>
          <w:rFonts w:hint="eastAsia"/>
        </w:rPr>
      </w:pPr>
      <w:r>
        <w:rPr>
          <w:rFonts w:hint="eastAsia"/>
        </w:rPr>
        <w:t>要求使用</w:t>
      </w:r>
      <w:proofErr w:type="spellStart"/>
      <w:r>
        <w:rPr>
          <w:rFonts w:hint="eastAsia"/>
        </w:rPr>
        <w:t>akshare</w:t>
      </w:r>
      <w:proofErr w:type="spellEnd"/>
      <w:r>
        <w:rPr>
          <w:rFonts w:hint="eastAsia"/>
        </w:rPr>
        <w:t>获取ETF的历史价格数据，然后进行回测。</w:t>
      </w:r>
    </w:p>
    <w:sectPr w:rsidR="007D312D" w:rsidRPr="007D3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B7"/>
    <w:rsid w:val="000248A1"/>
    <w:rsid w:val="007D312D"/>
    <w:rsid w:val="008954BE"/>
    <w:rsid w:val="00AD7BB7"/>
    <w:rsid w:val="00DE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DA2C"/>
  <w15:chartTrackingRefBased/>
  <w15:docId w15:val="{83F5E613-CDA0-441F-A814-6AB786DF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7B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7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7B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B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7BB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7BB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7BB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7BB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7BB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7B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7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7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7B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7BB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D7B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7B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7B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7B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7BB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7B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7B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7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7B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7B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7B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7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7B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7B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3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黄宇飞</dc:creator>
  <cp:keywords/>
  <dc:description/>
  <cp:lastModifiedBy>黄宇飞</cp:lastModifiedBy>
  <cp:revision>1</cp:revision>
  <dcterms:created xsi:type="dcterms:W3CDTF">2025-06-17T00:59:00Z</dcterms:created>
  <dcterms:modified xsi:type="dcterms:W3CDTF">2025-06-19T00:48:00Z</dcterms:modified>
</cp:coreProperties>
</file>