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ind w:left="0"/>
      </w:pPr>
      <w:r>
        <w:drawing>
          <wp:inline xmlns:a="http://schemas.openxmlformats.org/drawingml/2006/main" xmlns:pic="http://schemas.openxmlformats.org/drawingml/2006/picture">
            <wp:extent cx="7556500" cy="106924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6924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ind w:left="0"/>
      </w:pPr>
      <w:r>
        <w:br w:type="page"/>
      </w:r>
      <w:r>
        <w:drawing>
          <wp:inline xmlns:a="http://schemas.openxmlformats.org/drawingml/2006/main" xmlns:pic="http://schemas.openxmlformats.org/drawingml/2006/picture">
            <wp:extent cx="7556500" cy="106924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6924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Rule="exact" w:line="40"/>
      </w:pPr>
      <w:r>
        <w:br w:type="page"/>
      </w:r>
    </w:p>
    <w:tbl>
      <w:tblPr>
        <w:tblStyle w:val="TableGrid"/>
        <w:tblW w:type="dxa" w:w="10700"/>
        <w:tblLayout w:type="fixed"/>
        <w:tblLook w:firstColumn="1" w:firstRow="1" w:lastColumn="0" w:lastRow="0" w:noHBand="0" w:noVBand="1" w:val="04A0"/>
        <w:tblLayout w:type="fixed"/>
        <w:tblInd w:w="160" w:type="dxa"/>
        <w:tblCellMar>
          <w:left w:w="40" w:type="dxa"/>
          <w:right w:w="40" w:type="dxa"/>
        </w:tblCellMar>
      </w:tblPr>
      <w:tblGrid>
        <w:gridCol w:w="8780"/>
        <w:gridCol w:w="1920"/>
      </w:tblGrid>
      <w:tr>
        <w:trPr>
          <w:trHeight w:val="960" w:hRule="atLeast"/>
        </w:trPr>
        <w:tc>
          <w:tcPr>
            <w:tcW w:type="dxa" w:w="5461"/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 w:eastAsia="宋体"/>
                <w:sz w:val="22"/>
              </w:rPr>
              <w:t>复胜正能量三号E期私募证券投资基金 SSL389</w:t>
            </w:r>
          </w:p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 w:eastAsia="宋体"/>
                <w:sz w:val="22"/>
              </w:rPr>
              <w:t>2026年07月 月报</w:t>
            </w:r>
          </w:p>
        </w:tc>
        <w:tc>
          <w:tcPr>
            <w:tcW w:type="dxa" w:w="5461"/>
            <w:vAlign w:val="center"/>
          </w:tcPr>
          <w:p/>
        </w:tc>
      </w:tr>
    </w:tbl>
    <w:tbl>
      <w:tblPr>
        <w:tblStyle w:val="TableGrid"/>
        <w:tblW w:type="dxa" w:w="11900"/>
        <w:tblLayout w:type="fixed"/>
        <w:tblLook w:firstColumn="1" w:firstRow="1" w:lastColumn="0" w:lastRow="0" w:noHBand="0" w:noVBand="1" w:val="04A0"/>
        <w:tblLayout w:type="fixed"/>
        <w:tblInd w:w="-440" w:type="dxa"/>
        <w:tblCellMar>
          <w:left w:w="40" w:type="dxa"/>
          <w:right w:w="40" w:type="dxa"/>
        </w:tblCellMar>
      </w:tblPr>
      <w:tblGrid>
        <w:gridCol w:w="440"/>
        <w:gridCol w:w="11020"/>
        <w:gridCol w:w="440"/>
      </w:tblGrid>
      <w:tr>
        <w:trPr>
          <w:trHeight w:val="3765" w:hRule="atLeast"/>
        </w:trPr>
        <w:tc>
          <w:tcPr>
            <w:tcW w:type="dxa" w:w="3641"/>
            <w:vAlign w:val="center"/>
          </w:tcPr>
          <w:p/>
        </w:tc>
        <w:tc>
          <w:tcPr>
            <w:tcW w:type="dxa" w:w="3641"/>
            <w:vAlign w:val="center"/>
          </w:tcPr>
          <w:p>
            <w:pPr>
              <w:spacing w:before="0" w:after="0"/>
              <w:ind w:left="398"/>
              <w:jc w:val="left"/>
            </w:pPr>
            <w:r>
              <w:rPr>
                <w:rFonts w:ascii="Times New Roman" w:hAnsi="Times New Roman" w:eastAsia="宋体"/>
                <w:sz w:val="18"/>
              </w:rPr>
              <w:t>从当下的产业信号来看，市场正在用真金白银为AI公司分层定价。资金不再单纯关注资本开支的多少，而是越来越看重投入能否转化为</w:t>
            </w:r>
          </w:p>
          <w:p>
            <w:pPr>
              <w:spacing w:before="0" w:after="0"/>
              <w:ind w:left="48"/>
              <w:jc w:val="left"/>
            </w:pPr>
            <w:r>
              <w:rPr>
                <w:rFonts w:ascii="Times New Roman" w:hAnsi="Times New Roman" w:eastAsia="宋体"/>
                <w:sz w:val="18"/>
              </w:rPr>
              <w:t>回报。能够展示出云业务增长、利润兑现和正向自由现金流的公司，获得了市场的奖励；而那些过度开支、缺乏明确盈利路径、现金流持续</w:t>
            </w:r>
          </w:p>
          <w:p>
            <w:pPr>
              <w:spacing w:before="0" w:after="0"/>
              <w:ind w:left="48"/>
              <w:jc w:val="left"/>
            </w:pPr>
            <w:r>
              <w:rPr>
                <w:rFonts w:ascii="Times New Roman" w:hAnsi="Times New Roman" w:eastAsia="宋体"/>
                <w:sz w:val="18"/>
              </w:rPr>
              <w:t>消耗的公司，则面临越来越严厉的质疑。选股逻辑已经从"谁投得多"切换到"谁投得好"。更深层的问题在于，AI到底提升了多少实质性效率，</w:t>
            </w:r>
          </w:p>
          <w:p>
            <w:pPr>
              <w:spacing w:before="0" w:after="0"/>
              <w:ind w:left="48"/>
              <w:jc w:val="left"/>
            </w:pPr>
            <w:r>
              <w:rPr>
                <w:rFonts w:ascii="Times New Roman" w:hAnsi="Times New Roman" w:eastAsia="宋体"/>
                <w:sz w:val="18"/>
              </w:rPr>
              <w:t>这与用户的付费意愿直接挂钩。AI可以显著压缩执行环节，但任务定义、上下文组织、结果审核、返工纠偏和系统集成仍会消耗资源和时</w:t>
            </w:r>
          </w:p>
          <w:p>
            <w:pPr>
              <w:spacing w:before="0" w:after="0"/>
              <w:ind w:left="48"/>
              <w:jc w:val="left"/>
            </w:pPr>
            <w:r>
              <w:rPr>
                <w:rFonts w:ascii="Times New Roman" w:hAnsi="Times New Roman" w:eastAsia="宋体"/>
                <w:sz w:val="18"/>
              </w:rPr>
              <w:t>间。当执行变得廉价，真正的瓶颈从"做得快不快"转移到了"到底想要什么、能不能表达清楚"——判断好坏的能力正在成为稀缺资源。这意</w:t>
            </w:r>
          </w:p>
          <w:p>
            <w:pPr>
              <w:spacing w:before="0" w:after="0"/>
              <w:ind w:left="48"/>
              <w:jc w:val="left"/>
            </w:pPr>
            <w:r>
              <w:rPr>
                <w:rFonts w:ascii="Times New Roman" w:hAnsi="Times New Roman" w:eastAsia="宋体"/>
                <w:sz w:val="18"/>
              </w:rPr>
              <w:t>味着AI商业化的闭环，最终不取决于模型有多强大，而取决于用户是否认为这种效率提升值得持续付费。</w:t>
            </w:r>
          </w:p>
          <w:p>
            <w:pPr>
              <w:spacing w:before="0" w:after="0"/>
              <w:ind w:left="398"/>
              <w:jc w:val="left"/>
            </w:pPr>
            <w:r>
              <w:rPr>
                <w:rFonts w:ascii="Times New Roman" w:hAnsi="Times New Roman" w:eastAsia="宋体"/>
                <w:sz w:val="18"/>
              </w:rPr>
              <w:t>下一阶段，我们的核心策略可以浓缩为三个词：降波、均衡、验证。我们会在组合的稳定性与成长性之间继续寻找更合适的支点。红利</w:t>
            </w:r>
          </w:p>
          <w:p>
            <w:pPr>
              <w:spacing w:before="0" w:after="0"/>
              <w:ind w:left="48"/>
              <w:jc w:val="left"/>
            </w:pPr>
            <w:r>
              <w:rPr>
                <w:rFonts w:ascii="Times New Roman" w:hAnsi="Times New Roman" w:eastAsia="宋体"/>
                <w:sz w:val="18"/>
              </w:rPr>
              <w:t>方向并非简单追求高股息，而是选择需求受宏观波动影响较小、竞争地位稳固、现金流可预测、估值具备安全边际的公司。AI方向则继续围</w:t>
            </w:r>
          </w:p>
          <w:p>
            <w:pPr>
              <w:spacing w:before="0" w:after="0"/>
              <w:ind w:left="48"/>
              <w:jc w:val="left"/>
            </w:pPr>
            <w:r>
              <w:rPr>
                <w:rFonts w:ascii="Times New Roman" w:hAnsi="Times New Roman" w:eastAsia="宋体"/>
                <w:sz w:val="18"/>
              </w:rPr>
              <w:t>绕商业化闭环展开验证；同时，随着模型使用的K型分层逐渐清晰，我们也在密切观察AI应用端和AI+赋能方向上可能涌现的机会——当模型</w:t>
            </w:r>
          </w:p>
          <w:p>
            <w:pPr>
              <w:spacing w:before="0" w:after="0"/>
              <w:ind w:left="48"/>
              <w:jc w:val="left"/>
            </w:pPr>
            <w:r>
              <w:rPr>
                <w:rFonts w:ascii="Times New Roman" w:hAnsi="Times New Roman" w:eastAsia="宋体"/>
                <w:sz w:val="18"/>
              </w:rPr>
              <w:t>成本足够低、能力足够强时，真正有行业knowhow的公司有望迎来价值回归。在这一过程中，我们更愿意先把组合的底盘调稳，再等待商业</w:t>
            </w:r>
          </w:p>
          <w:p>
            <w:pPr>
              <w:spacing w:before="0" w:after="0"/>
              <w:ind w:left="48"/>
              <w:jc w:val="left"/>
            </w:pPr>
            <w:r>
              <w:rPr>
                <w:rFonts w:ascii="Times New Roman" w:hAnsi="Times New Roman" w:eastAsia="宋体"/>
                <w:sz w:val="18"/>
              </w:rPr>
              <w:t>化的路标逐一亮起：方向上保持耐心，仓位上灵活均衡，持续寻找确定性。</w:t>
            </w:r>
          </w:p>
        </w:tc>
        <w:tc>
          <w:tcPr>
            <w:tcW w:type="dxa" w:w="3641"/>
            <w:vAlign w:val="center"/>
          </w:tcPr>
          <w:p/>
        </w:tc>
      </w:tr>
    </w:tbl>
    <w:p>
      <w:pPr>
        <w:spacing w:before="10553" w:after="0" w:lineRule="exact" w:line="204"/>
        <w:jc w:val="both"/>
      </w:pPr>
      <w:r>
        <w:rPr>
          <w:rFonts w:ascii="Times New Roman" w:hAnsi="Times New Roman" w:eastAsia="宋体"/>
          <w:b w:val="0"/>
          <w:sz w:val="18"/>
        </w:rPr>
        <w:t>免责申明</w:t>
      </w:r>
      <w:r>
        <w:rPr>
          <w:rFonts w:ascii="Times New Roman" w:hAnsi="Times New Roman" w:eastAsia="宋体"/>
          <w:b w:val="0"/>
          <w:sz w:val="18"/>
          <w:w w:val="60"/>
        </w:rPr>
        <w:t>/</w:t>
      </w:r>
      <w:r>
        <w:rPr>
          <w:rFonts w:ascii="Times New Roman" w:hAnsi="Times New Roman" w:eastAsia="宋体"/>
          <w:b w:val="0"/>
          <w:sz w:val="18"/>
        </w:rPr>
        <w:t>风险提示：本报告为保密资料，仅限本产品的合格投资者查阅。未经本企业许可，任何机构或个人不得以任何形式转载、转发或用于其他商业用途。本报告不构成</w:t>
      </w:r>
      <w:r>
        <w:rPr>
          <w:rFonts w:ascii="Times New Roman" w:hAnsi="Times New Roman" w:eastAsia="宋体"/>
          <w:b w:val="0"/>
          <w:sz w:val="18"/>
        </w:rPr>
        <w:t>任何形式的要约或投资建议，亦非对交易的确认。本报告所载数据信息取自托管人复核数据或管理人内部系统，仅供参考，本企业对其准确性、完整性及适当性等不作任何</w:t>
      </w:r>
      <w:r>
        <w:rPr>
          <w:rFonts w:ascii="Times New Roman" w:hAnsi="Times New Roman" w:eastAsia="宋体"/>
          <w:b w:val="0"/>
          <w:sz w:val="18"/>
        </w:rPr>
        <w:t>保证，本企业保留随时更新相关信息的权利。产品要素为概况信息，具体情况详见《基金合同》。报告中投资观点具有时效性，受市场波动和政策变化等多重因素影响，不</w:t>
      </w:r>
      <w:r>
        <w:rPr>
          <w:rFonts w:ascii="Times New Roman" w:hAnsi="Times New Roman" w:eastAsia="宋体"/>
          <w:b w:val="0"/>
          <w:sz w:val="18"/>
        </w:rPr>
        <w:t>代表未来必然发生的实际情况。</w:t>
      </w:r>
      <w:r>
        <w:rPr>
          <w:rFonts w:ascii="Times New Roman" w:hAnsi="Times New Roman" w:eastAsia="宋体"/>
          <w:b w:val="0"/>
          <w:sz w:val="18"/>
        </w:rPr>
        <w:t>产品过往业绩并不预示其未来表现，亦不作为其他产品业绩表现的保证。市场有风险，投资需谨慎。</w:t>
      </w:r>
    </w:p>
    <w:sectPr w:rsidR="00FC693F" w:rsidRPr="0006063C" w:rsidSect="00034616">
      <w:pgSz w:w="11900" w:h="16840"/>
      <w:pgMar w:top="15863" w:right="538" w:bottom="86" w:left="440" w:header="100" w:footer="1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