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2.7.0 -->
  <w:body>
    <w:tbl>
      <w:tblPr>
        <w:tblStyle w:val="articletable"/>
        <w:tblW w:w="5000" w:type="pct"/>
        <w:jc w:val="center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9360"/>
      </w:tblGrid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tcW w:w="12145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4"/>
              <w:spacing w:before="300" w:after="150"/>
              <w:ind w:left="0" w:right="0"/>
              <w:rPr>
                <w:lang w:val="uk" w:eastAsia="uk"/>
              </w:rPr>
            </w:pPr>
            <w:bookmarkStart w:id="0" w:name="n2"/>
            <w:bookmarkEnd w:id="0"/>
            <w:r>
              <w:rPr>
                <w:strike w:val="0"/>
                <w:u w:val="none"/>
                <w:lang w:val="uk" w:eastAsia="uk"/>
              </w:rPr>
              <w:drawing>
                <wp:inline>
                  <wp:extent cx="571500" cy="762000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tcW w:w="12145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"/>
              <w:spacing w:before="150" w:after="0"/>
              <w:ind w:left="0" w:right="0"/>
              <w:rPr>
                <w:lang w:val="uk" w:eastAsia="uk"/>
              </w:rPr>
            </w:pPr>
            <w:r>
              <w:rPr>
                <w:rStyle w:val="spanrvts15"/>
                <w:b/>
                <w:bCs/>
                <w:i w:val="0"/>
                <w:iCs w:val="0"/>
                <w:lang w:val="uk" w:eastAsia="uk"/>
              </w:rPr>
              <w:t>МІНІСТЕРСТВО ОСВІТИ І НАУКИ УКРАЇНИ</w:t>
            </w:r>
          </w:p>
        </w:tc>
      </w:tr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tcW w:w="12145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4"/>
              <w:spacing w:before="300" w:after="150"/>
              <w:ind w:left="0" w:right="0"/>
              <w:rPr>
                <w:lang w:val="uk" w:eastAsia="uk"/>
              </w:rPr>
            </w:pPr>
            <w:r>
              <w:rPr>
                <w:rStyle w:val="spanrvts23"/>
                <w:b/>
                <w:bCs/>
                <w:i w:val="0"/>
                <w:iCs w:val="0"/>
                <w:lang w:val="uk" w:eastAsia="uk"/>
              </w:rPr>
              <w:t>НАКАЗ</w:t>
            </w:r>
          </w:p>
        </w:tc>
      </w:tr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tcW w:w="12145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7"/>
              <w:spacing w:before="150" w:after="150"/>
              <w:ind w:left="450" w:right="450"/>
              <w:rPr>
                <w:lang w:val="uk" w:eastAsia="uk"/>
              </w:rPr>
            </w:pPr>
            <w:r>
              <w:rPr>
                <w:rStyle w:val="spanrvts9"/>
                <w:b/>
                <w:bCs/>
                <w:i w:val="0"/>
                <w:iCs w:val="0"/>
                <w:lang w:val="uk" w:eastAsia="uk"/>
              </w:rPr>
              <w:t>21.10.2024 № 1485</w:t>
            </w:r>
          </w:p>
        </w:tc>
      </w:tr>
    </w:tbl>
    <w:p>
      <w:pPr>
        <w:rPr>
          <w:vanish/>
        </w:rPr>
      </w:pPr>
    </w:p>
    <w:tbl>
      <w:tblPr>
        <w:tblStyle w:val="articletable"/>
        <w:tblW w:w="5000" w:type="pct"/>
        <w:jc w:val="center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616"/>
        <w:gridCol w:w="3744"/>
      </w:tblGrid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tcW w:w="300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bookmarkStart w:id="1" w:name="n3"/>
            <w:bookmarkEnd w:id="1"/>
          </w:p>
        </w:tc>
        <w:tc>
          <w:tcPr>
            <w:tcW w:w="200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rStyle w:val="spanrvts9"/>
                <w:b/>
                <w:bCs/>
                <w:i w:val="0"/>
                <w:iCs w:val="0"/>
                <w:lang w:val="uk" w:eastAsia="uk"/>
              </w:rPr>
              <w:t>Зареєстровано в Міністерстві</w:t>
            </w:r>
            <w:r>
              <w:rPr>
                <w:lang w:val="uk" w:eastAsia="uk"/>
              </w:rPr>
              <w:t xml:space="preserve"> </w:t>
            </w:r>
            <w:r>
              <w:rPr>
                <w:lang w:val="uk" w:eastAsia="uk"/>
              </w:rPr>
              <w:br/>
            </w:r>
            <w:r>
              <w:rPr>
                <w:rStyle w:val="spanrvts9"/>
                <w:b/>
                <w:bCs/>
                <w:i w:val="0"/>
                <w:iCs w:val="0"/>
                <w:lang w:val="uk" w:eastAsia="uk"/>
              </w:rPr>
              <w:t>юстиції України</w:t>
            </w:r>
            <w:r>
              <w:rPr>
                <w:lang w:val="uk" w:eastAsia="uk"/>
              </w:rPr>
              <w:t xml:space="preserve"> </w:t>
            </w:r>
            <w:r>
              <w:rPr>
                <w:lang w:val="uk" w:eastAsia="uk"/>
              </w:rPr>
              <w:br/>
            </w:r>
            <w:r>
              <w:rPr>
                <w:rStyle w:val="spanrvts9"/>
                <w:b/>
                <w:bCs/>
                <w:i w:val="0"/>
                <w:iCs w:val="0"/>
                <w:lang w:val="uk" w:eastAsia="uk"/>
              </w:rPr>
              <w:t>20 листопада 2024 року</w:t>
            </w:r>
            <w:r>
              <w:rPr>
                <w:lang w:val="uk" w:eastAsia="uk"/>
              </w:rPr>
              <w:t xml:space="preserve"> </w:t>
            </w:r>
            <w:r>
              <w:rPr>
                <w:lang w:val="uk" w:eastAsia="uk"/>
              </w:rPr>
              <w:br/>
            </w:r>
            <w:r>
              <w:rPr>
                <w:rStyle w:val="spanrvts9"/>
                <w:b/>
                <w:bCs/>
                <w:i w:val="0"/>
                <w:iCs w:val="0"/>
                <w:lang w:val="uk" w:eastAsia="uk"/>
              </w:rPr>
              <w:t>за № 1743/43088</w:t>
            </w:r>
          </w:p>
        </w:tc>
      </w:tr>
    </w:tbl>
    <w:p>
      <w:pPr>
        <w:pStyle w:val="rvps6"/>
        <w:spacing w:before="300" w:after="450"/>
        <w:ind w:left="450" w:right="450"/>
        <w:rPr>
          <w:lang w:val="uk" w:eastAsia="uk"/>
        </w:rPr>
      </w:pPr>
      <w:bookmarkStart w:id="2" w:name="n4"/>
      <w:bookmarkEnd w:id="2"/>
      <w:r>
        <w:rPr>
          <w:rStyle w:val="spanrvts23"/>
          <w:b/>
          <w:bCs/>
          <w:i w:val="0"/>
          <w:iCs w:val="0"/>
          <w:lang w:val="uk" w:eastAsia="uk"/>
        </w:rPr>
        <w:t>Про державну атестацію наукових установ та закладів вищої освіти в частині провадження такими закладами наукової (науково-технічної) діяльності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3" w:name="n5"/>
      <w:bookmarkEnd w:id="3"/>
      <w:r>
        <w:rPr>
          <w:lang w:val="uk" w:eastAsia="uk"/>
        </w:rPr>
        <w:t xml:space="preserve">Відповідно до </w:t>
      </w:r>
      <w:hyperlink r:id="rId5" w:anchor="n22" w:tgtFrame="_blank" w:history="1">
        <w:r>
          <w:rPr>
            <w:rStyle w:val="arvts96"/>
            <w:b w:val="0"/>
            <w:bCs w:val="0"/>
            <w:i w:val="0"/>
            <w:iCs w:val="0"/>
            <w:lang w:val="uk" w:eastAsia="uk"/>
          </w:rPr>
          <w:t>пункту 5</w:t>
        </w:r>
      </w:hyperlink>
      <w:r>
        <w:rPr>
          <w:lang w:val="uk" w:eastAsia="uk"/>
        </w:rPr>
        <w:t xml:space="preserve"> Порядку проведення державної атестації наукових установ та закладів вищої освіти в частині провадження такими закладами наукової (науково-технічної) діяльності, затвердженого постановою Кабінету Міністрів України від 19 липня 2017 року № 540, </w:t>
      </w:r>
      <w:r>
        <w:rPr>
          <w:rStyle w:val="spanrvts52"/>
          <w:b/>
          <w:bCs/>
          <w:i w:val="0"/>
          <w:iCs w:val="0"/>
          <w:lang w:val="uk" w:eastAsia="uk"/>
        </w:rPr>
        <w:t>НАКАЗУЮ: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4" w:name="n6"/>
      <w:bookmarkEnd w:id="4"/>
      <w:r>
        <w:rPr>
          <w:lang w:val="uk" w:eastAsia="uk"/>
        </w:rPr>
        <w:t>1. Затвердити такі, що додаються: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5" w:name="n7"/>
      <w:bookmarkEnd w:id="5"/>
      <w:r>
        <w:rPr>
          <w:lang w:val="uk" w:eastAsia="uk"/>
        </w:rPr>
        <w:t xml:space="preserve">1) </w:t>
      </w:r>
      <w:hyperlink w:anchor="n20" w:history="1">
        <w:r>
          <w:rPr>
            <w:rStyle w:val="arvts99"/>
            <w:b w:val="0"/>
            <w:bCs w:val="0"/>
            <w:i w:val="0"/>
            <w:iCs w:val="0"/>
            <w:lang w:val="uk" w:eastAsia="uk"/>
          </w:rPr>
          <w:t>Методику оцінювання ефективності наукової (науково-технічної) діяльності наукових установ та закладів вищої освіти в частині провадження такими закладами наукової (науково-технічної) діяльності за окремими науковими напрямами під час проведення державної атестації</w:t>
        </w:r>
      </w:hyperlink>
      <w:r>
        <w:rPr>
          <w:lang w:val="uk" w:eastAsia="uk"/>
        </w:rPr>
        <w:t>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6" w:name="n8"/>
      <w:bookmarkEnd w:id="6"/>
      <w:r>
        <w:rPr>
          <w:lang w:val="uk" w:eastAsia="uk"/>
        </w:rPr>
        <w:t xml:space="preserve">2) </w:t>
      </w:r>
      <w:hyperlink r:id="rId6" w:anchor="n4" w:tgtFrame="_blank" w:history="1">
        <w:r>
          <w:rPr>
            <w:rStyle w:val="arvts96"/>
            <w:b w:val="0"/>
            <w:bCs w:val="0"/>
            <w:i w:val="0"/>
            <w:iCs w:val="0"/>
            <w:lang w:val="uk" w:eastAsia="uk"/>
          </w:rPr>
          <w:t>Положення про експертні групи та експертну комісію з питань проведення державної атестації наукових установ та закладів вищої освіти в частині провадження такими закладами наукової (науково-технічної) діяльності</w:t>
        </w:r>
      </w:hyperlink>
      <w:r>
        <w:rPr>
          <w:lang w:val="uk" w:eastAsia="uk"/>
        </w:rPr>
        <w:t>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7" w:name="n9"/>
      <w:bookmarkEnd w:id="7"/>
      <w:r>
        <w:rPr>
          <w:lang w:val="uk" w:eastAsia="uk"/>
        </w:rPr>
        <w:t>2. Визнати такими, що втратили чинність: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8" w:name="n10"/>
      <w:bookmarkEnd w:id="8"/>
      <w:r>
        <w:rPr>
          <w:lang w:val="uk" w:eastAsia="uk"/>
        </w:rPr>
        <w:t xml:space="preserve">1) </w:t>
      </w:r>
      <w:hyperlink r:id="rId7" w:tgtFrame="_blank" w:history="1">
        <w:r>
          <w:rPr>
            <w:rStyle w:val="arvts96"/>
            <w:b w:val="0"/>
            <w:bCs w:val="0"/>
            <w:i w:val="0"/>
            <w:iCs w:val="0"/>
            <w:lang w:val="uk" w:eastAsia="uk"/>
          </w:rPr>
          <w:t>наказ Міністерства освіти і науки України від 17 вересня 2018 року № 1008</w:t>
        </w:r>
      </w:hyperlink>
      <w:r>
        <w:rPr>
          <w:lang w:val="uk" w:eastAsia="uk"/>
        </w:rPr>
        <w:t xml:space="preserve"> «Деякі питання державної атестації наукових установ», зареєстрований в Міністерстві юстиції України 28 грудня 2018 року за № 1504/32956;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9" w:name="n11"/>
      <w:bookmarkEnd w:id="9"/>
      <w:r>
        <w:rPr>
          <w:lang w:val="uk" w:eastAsia="uk"/>
        </w:rPr>
        <w:t xml:space="preserve">2) </w:t>
      </w:r>
      <w:hyperlink r:id="rId8" w:tgtFrame="_blank" w:history="1">
        <w:r>
          <w:rPr>
            <w:rStyle w:val="arvts96"/>
            <w:b w:val="0"/>
            <w:bCs w:val="0"/>
            <w:i w:val="0"/>
            <w:iCs w:val="0"/>
            <w:lang w:val="uk" w:eastAsia="uk"/>
          </w:rPr>
          <w:t>наказ Міністерства освіти і науки України від 12 березня 2019 року № 338</w:t>
        </w:r>
      </w:hyperlink>
      <w:r>
        <w:rPr>
          <w:lang w:val="uk" w:eastAsia="uk"/>
        </w:rPr>
        <w:t xml:space="preserve"> «Про державну атестацію закладів вищої освіти в частині провадження ними наукової (науково-технічної) діяльності», зареєстрований в Міністерстві юстиції України 27 червня 2019 року за № 688/33659.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10" w:name="n12"/>
      <w:bookmarkEnd w:id="10"/>
      <w:r>
        <w:rPr>
          <w:lang w:val="uk" w:eastAsia="uk"/>
        </w:rPr>
        <w:t>3. Директорату розвитку науки (Мозолевич Григорій) забезпечити подання цього наказу на державну реєстрацію до Міністерства юстиції України в установленому законодавством порядку.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11" w:name="n13"/>
      <w:bookmarkEnd w:id="11"/>
      <w:r>
        <w:rPr>
          <w:lang w:val="uk" w:eastAsia="uk"/>
        </w:rPr>
        <w:t>4. Департаменту забезпечення документообігу, контролю та інформаційних технологій (Єрко Інна) зробити відповідну відмітку у справах архіву.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12" w:name="n14"/>
      <w:bookmarkEnd w:id="12"/>
      <w:r>
        <w:rPr>
          <w:lang w:val="uk" w:eastAsia="uk"/>
        </w:rPr>
        <w:t>5. Цей наказ набирає чинності з дня його офіційного опублікування.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13" w:name="n15"/>
      <w:bookmarkEnd w:id="13"/>
      <w:r>
        <w:rPr>
          <w:lang w:val="uk" w:eastAsia="uk"/>
        </w:rPr>
        <w:t>6. Контроль за виконанням цього наказу покласти на заступника Міністра Курбатова Дениса.</w:t>
      </w:r>
    </w:p>
    <w:tbl>
      <w:tblPr>
        <w:tblStyle w:val="articletable"/>
        <w:tblW w:w="5000" w:type="pct"/>
        <w:jc w:val="center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523"/>
        <w:gridCol w:w="5837"/>
      </w:tblGrid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tcW w:w="210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4"/>
              <w:spacing w:before="300" w:after="150"/>
              <w:ind w:left="0" w:right="0"/>
              <w:rPr>
                <w:lang w:val="uk" w:eastAsia="uk"/>
              </w:rPr>
            </w:pPr>
            <w:bookmarkStart w:id="14" w:name="n16"/>
            <w:bookmarkEnd w:id="14"/>
            <w:r>
              <w:rPr>
                <w:rStyle w:val="spanrvts44"/>
                <w:b/>
                <w:bCs/>
                <w:i w:val="0"/>
                <w:iCs w:val="0"/>
                <w:lang w:val="uk" w:eastAsia="uk"/>
              </w:rPr>
              <w:t>Міністр</w:t>
            </w:r>
          </w:p>
        </w:tc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5"/>
              <w:spacing w:before="300" w:after="0"/>
              <w:ind w:left="0" w:right="0"/>
              <w:rPr>
                <w:lang w:val="uk" w:eastAsia="uk"/>
              </w:rPr>
            </w:pPr>
            <w:r>
              <w:rPr>
                <w:rStyle w:val="spanrvts44"/>
                <w:b/>
                <w:bCs/>
                <w:i w:val="0"/>
                <w:iCs w:val="0"/>
                <w:lang w:val="uk" w:eastAsia="uk"/>
              </w:rPr>
              <w:t>Оксен ЛІСОВИЙ</w:t>
            </w:r>
          </w:p>
        </w:tc>
      </w:tr>
    </w:tbl>
    <w:p>
      <w:pPr>
        <w:rPr>
          <w:vanish/>
        </w:rPr>
      </w:pPr>
    </w:p>
    <w:tbl>
      <w:tblPr>
        <w:tblStyle w:val="articletable"/>
        <w:tblW w:w="5000" w:type="pct"/>
        <w:jc w:val="center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616"/>
        <w:gridCol w:w="3744"/>
      </w:tblGrid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tcW w:w="300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bookmarkStart w:id="15" w:name="n17"/>
            <w:bookmarkEnd w:id="15"/>
            <w:r>
              <w:rPr>
                <w:lang w:val="uk" w:eastAsia="uk"/>
              </w:rPr>
              <w:t xml:space="preserve">ПОГОДЖЕНО: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Голова Наукового комітету Національної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ради України з питань розвитку науки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і технологій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Голова Державної служби України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з питань безпечності харчових продуктів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та захисту споживачів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Голова Державної служби спеціального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зв’язку та захисту інформації України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майор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Голова Державної служби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статистики України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В. о. Голови Державного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космічного агентства України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Голова Державної регуляторної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служби України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Міністр внутрішніх справ України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Виконуючий обов’язки Міністра аграрної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політики та продовольства України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Міністр захисту довкілля та природних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ресурсів України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Міністр енергетики України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Віце-прем’єр-міністр з відновлення України -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Міністр розвитку громад та територій України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Міністр культури та стратегічних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комунікацій України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Міністр молоді та спорту України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Перший заступник Міністра цифрової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трансформації України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Міністр оборони України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Міністр охорони здоров’я України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Президент Національної академії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аграрних наук України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Президент Національної академії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медичних наук України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В. о. Президента Національної академії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мистецтв України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Президент Національної академії наук України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академік НАН України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Президент Національної академії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педагогічних наук України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Президент Нацiональної академiї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правових наук України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Голова Служби безпеки України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>Голова Служби зовнішньої розвідки України</w:t>
            </w:r>
          </w:p>
        </w:tc>
        <w:tc>
          <w:tcPr>
            <w:tcW w:w="200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1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Олександра АНТОНЮК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Сергій ТКАЧУК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Юрій МИРОНЕНКО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Ігор ВЕРНЕР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Володимир БЕНЬ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Олексій КУЧЕР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Ігор КЛИМЕНКО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Тарас ВИСОЦЬКИЙ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Світлана ГРИНЧУК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Герман ГАЛУЩЕНКО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Олексій КУЛЕБА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Микола ТОЧИЦЬКИЙ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Матвій БІДНИЙ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Олексій ВИСКУБ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Рустем УМЄРОВ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Віктор ЛЯШКО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Ярослав ГАДЗАЛО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Віталій ЦИМБАЛЮК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Валерій БІТАЄВ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Анатолій ЗАГОРОДНІЙ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Василь КРЕМЕНЬ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Володимир ЖУРАВЕЛЬ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Василь МАЛЮК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>Олег ІВАЩЕНКО</w:t>
            </w:r>
          </w:p>
        </w:tc>
      </w:tr>
    </w:tbl>
    <w:p>
      <w:pPr>
        <w:pStyle w:val="brea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150"/>
        <w:ind w:left="0" w:right="0" w:firstLine="0"/>
        <w:jc w:val="both"/>
        <w:rPr>
          <w:lang w:val="uk" w:eastAsia="uk"/>
        </w:rPr>
      </w:pPr>
      <w:r>
        <w:pict>
          <v:rect id="_x0000_i1025" style="width:0;height:0.75pt" o:hrpct="0" o:hrstd="t" o:hr="t" filled="t" fillcolor="gray" stroked="f">
            <v:path strokeok="f"/>
          </v:rect>
        </w:pict>
      </w:r>
      <w:bookmarkStart w:id="16" w:name="n117"/>
      <w:bookmarkEnd w:id="16"/>
    </w:p>
    <w:tbl>
      <w:tblPr>
        <w:tblStyle w:val="articletable"/>
        <w:tblW w:w="5000" w:type="pct"/>
        <w:jc w:val="center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616"/>
        <w:gridCol w:w="3744"/>
      </w:tblGrid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tcW w:w="300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bookmarkStart w:id="17" w:name="n18"/>
            <w:bookmarkEnd w:id="17"/>
          </w:p>
        </w:tc>
        <w:tc>
          <w:tcPr>
            <w:tcW w:w="200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rStyle w:val="spanrvts9"/>
                <w:b/>
                <w:bCs/>
                <w:i w:val="0"/>
                <w:iCs w:val="0"/>
                <w:lang w:val="uk" w:eastAsia="uk"/>
              </w:rPr>
              <w:t>ЗАТВЕРДЖЕНО</w:t>
            </w:r>
            <w:r>
              <w:rPr>
                <w:lang w:val="uk" w:eastAsia="uk"/>
              </w:rPr>
              <w:t xml:space="preserve"> </w:t>
            </w:r>
            <w:r>
              <w:rPr>
                <w:lang w:val="uk" w:eastAsia="uk"/>
              </w:rPr>
              <w:br/>
            </w:r>
            <w:r>
              <w:rPr>
                <w:rStyle w:val="spanrvts9"/>
                <w:b/>
                <w:bCs/>
                <w:i w:val="0"/>
                <w:iCs w:val="0"/>
                <w:lang w:val="uk" w:eastAsia="uk"/>
              </w:rPr>
              <w:t>Наказ Міністерства освіти</w:t>
            </w:r>
            <w:r>
              <w:rPr>
                <w:lang w:val="uk" w:eastAsia="uk"/>
              </w:rPr>
              <w:t xml:space="preserve"> </w:t>
            </w:r>
            <w:r>
              <w:rPr>
                <w:lang w:val="uk" w:eastAsia="uk"/>
              </w:rPr>
              <w:br/>
            </w:r>
            <w:r>
              <w:rPr>
                <w:rStyle w:val="spanrvts9"/>
                <w:b/>
                <w:bCs/>
                <w:i w:val="0"/>
                <w:iCs w:val="0"/>
                <w:lang w:val="uk" w:eastAsia="uk"/>
              </w:rPr>
              <w:t>і науки України</w:t>
            </w:r>
            <w:r>
              <w:rPr>
                <w:lang w:val="uk" w:eastAsia="uk"/>
              </w:rPr>
              <w:t xml:space="preserve"> </w:t>
            </w:r>
            <w:r>
              <w:rPr>
                <w:lang w:val="uk" w:eastAsia="uk"/>
              </w:rPr>
              <w:br/>
            </w:r>
            <w:r>
              <w:rPr>
                <w:rStyle w:val="spanrvts9"/>
                <w:b/>
                <w:bCs/>
                <w:i w:val="0"/>
                <w:iCs w:val="0"/>
                <w:lang w:val="uk" w:eastAsia="uk"/>
              </w:rPr>
              <w:t>21 жовтня 2024 року № 1485</w:t>
            </w:r>
          </w:p>
        </w:tc>
      </w:tr>
    </w:tbl>
    <w:p>
      <w:pPr>
        <w:rPr>
          <w:vanish/>
        </w:rPr>
      </w:pPr>
    </w:p>
    <w:tbl>
      <w:tblPr>
        <w:tblStyle w:val="articletable"/>
        <w:tblW w:w="5000" w:type="pct"/>
        <w:jc w:val="center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616"/>
        <w:gridCol w:w="3744"/>
      </w:tblGrid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tcW w:w="300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bookmarkStart w:id="18" w:name="n19"/>
            <w:bookmarkEnd w:id="18"/>
          </w:p>
        </w:tc>
        <w:tc>
          <w:tcPr>
            <w:tcW w:w="200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rStyle w:val="spanrvts9"/>
                <w:b/>
                <w:bCs/>
                <w:i w:val="0"/>
                <w:iCs w:val="0"/>
                <w:lang w:val="uk" w:eastAsia="uk"/>
              </w:rPr>
              <w:t>Зареєстровано в Міністерстві</w:t>
            </w:r>
            <w:r>
              <w:rPr>
                <w:lang w:val="uk" w:eastAsia="uk"/>
              </w:rPr>
              <w:t xml:space="preserve"> </w:t>
            </w:r>
            <w:r>
              <w:rPr>
                <w:lang w:val="uk" w:eastAsia="uk"/>
              </w:rPr>
              <w:br/>
            </w:r>
            <w:r>
              <w:rPr>
                <w:rStyle w:val="spanrvts9"/>
                <w:b/>
                <w:bCs/>
                <w:i w:val="0"/>
                <w:iCs w:val="0"/>
                <w:lang w:val="uk" w:eastAsia="uk"/>
              </w:rPr>
              <w:t>юстиції України</w:t>
            </w:r>
            <w:r>
              <w:rPr>
                <w:lang w:val="uk" w:eastAsia="uk"/>
              </w:rPr>
              <w:t xml:space="preserve"> </w:t>
            </w:r>
            <w:r>
              <w:rPr>
                <w:lang w:val="uk" w:eastAsia="uk"/>
              </w:rPr>
              <w:br/>
            </w:r>
            <w:r>
              <w:rPr>
                <w:rStyle w:val="spanrvts9"/>
                <w:b/>
                <w:bCs/>
                <w:i w:val="0"/>
                <w:iCs w:val="0"/>
                <w:lang w:val="uk" w:eastAsia="uk"/>
              </w:rPr>
              <w:t>20 листопада 2024 року</w:t>
            </w:r>
            <w:r>
              <w:rPr>
                <w:lang w:val="uk" w:eastAsia="uk"/>
              </w:rPr>
              <w:t xml:space="preserve"> </w:t>
            </w:r>
            <w:r>
              <w:rPr>
                <w:lang w:val="uk" w:eastAsia="uk"/>
              </w:rPr>
              <w:br/>
            </w:r>
            <w:r>
              <w:rPr>
                <w:rStyle w:val="spanrvts9"/>
                <w:b/>
                <w:bCs/>
                <w:i w:val="0"/>
                <w:iCs w:val="0"/>
                <w:lang w:val="uk" w:eastAsia="uk"/>
              </w:rPr>
              <w:t>за № 1743/43088</w:t>
            </w:r>
          </w:p>
        </w:tc>
      </w:tr>
    </w:tbl>
    <w:p>
      <w:pPr>
        <w:pStyle w:val="rvps6"/>
        <w:spacing w:before="300" w:after="450"/>
        <w:ind w:left="450" w:right="450"/>
        <w:rPr>
          <w:lang w:val="uk" w:eastAsia="uk"/>
        </w:rPr>
      </w:pPr>
      <w:bookmarkStart w:id="19" w:name="n20"/>
      <w:bookmarkEnd w:id="19"/>
      <w:r>
        <w:rPr>
          <w:rStyle w:val="spanrvts23"/>
          <w:b/>
          <w:bCs/>
          <w:i w:val="0"/>
          <w:iCs w:val="0"/>
          <w:lang w:val="uk" w:eastAsia="uk"/>
        </w:rPr>
        <w:t xml:space="preserve">МЕТОДИКА </w:t>
      </w:r>
      <w:r>
        <w:rPr>
          <w:rStyle w:val="spanrvts23"/>
          <w:b/>
          <w:bCs/>
          <w:i w:val="0"/>
          <w:iCs w:val="0"/>
          <w:lang w:val="uk" w:eastAsia="uk"/>
        </w:rPr>
        <w:br/>
      </w:r>
      <w:r>
        <w:rPr>
          <w:rStyle w:val="spanrvts23"/>
          <w:b/>
          <w:bCs/>
          <w:i w:val="0"/>
          <w:iCs w:val="0"/>
          <w:lang w:val="uk" w:eastAsia="uk"/>
        </w:rPr>
        <w:t>оцінювання ефективності наукової (науково-технічної) діяльності наукових установ та закладів вищої освіти в частині провадження такими закладами наукової (науково-технічної) діяльності за окремими науковими напрямами під час проведення державної атестації</w:t>
      </w:r>
    </w:p>
    <w:p>
      <w:pPr>
        <w:pStyle w:val="rvps7"/>
        <w:spacing w:before="150" w:after="150"/>
        <w:ind w:left="450" w:right="450"/>
        <w:rPr>
          <w:lang w:val="uk" w:eastAsia="uk"/>
        </w:rPr>
      </w:pPr>
      <w:bookmarkStart w:id="20" w:name="n21"/>
      <w:bookmarkEnd w:id="20"/>
      <w:r>
        <w:rPr>
          <w:rStyle w:val="spanrvts15"/>
          <w:b/>
          <w:bCs/>
          <w:i w:val="0"/>
          <w:iCs w:val="0"/>
          <w:lang w:val="uk" w:eastAsia="uk"/>
        </w:rPr>
        <w:t>I. Загальні положення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21" w:name="n22"/>
      <w:bookmarkEnd w:id="21"/>
      <w:r>
        <w:rPr>
          <w:lang w:val="uk" w:eastAsia="uk"/>
        </w:rPr>
        <w:t>1. Ця Методика застосовується під час проведення державної атестації наукових (науково-дослідних, науково-технологічних, науково-технічних, науково-практичних) установ, а також закладів вищої освіти в частині провадження такими закладами наукової (науково-технічної) діяльності з метою визначення ефективності такої діяльності.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22" w:name="n23"/>
      <w:bookmarkEnd w:id="22"/>
      <w:r>
        <w:rPr>
          <w:lang w:val="uk" w:eastAsia="uk"/>
        </w:rPr>
        <w:t xml:space="preserve">Державна атестація наукових установ, вищих військових навчальних закладів, закладів вищої освіти із специфічними умовами навчання в частині провадження такими закладами наукової (науково-технічної) діяльності, яким розпорядчими документами державних органів управління (засновників) визначено повноваження у сфері національної безпеки і оборони, здійснюється з урахуванням відповідних положень </w:t>
      </w:r>
      <w:hyperlink r:id="rId5" w:anchor="n10" w:tgtFrame="_blank" w:history="1">
        <w:r>
          <w:rPr>
            <w:rStyle w:val="arvts96"/>
            <w:b w:val="0"/>
            <w:bCs w:val="0"/>
            <w:i w:val="0"/>
            <w:iCs w:val="0"/>
            <w:lang w:val="uk" w:eastAsia="uk"/>
          </w:rPr>
          <w:t>Порядку проведення державної атестації наукових установ та закладів вищої освіти в частині провадження такими закладами наукової (науково-технічної) діяльності</w:t>
        </w:r>
      </w:hyperlink>
      <w:r>
        <w:rPr>
          <w:lang w:val="uk" w:eastAsia="uk"/>
        </w:rPr>
        <w:t>, затвердженого постановою Кабінету Міністрів України від 19 липня 2017 року № 540 (далі - Порядок).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23" w:name="n24"/>
      <w:bookmarkEnd w:id="23"/>
      <w:r>
        <w:rPr>
          <w:lang w:val="uk" w:eastAsia="uk"/>
        </w:rPr>
        <w:t xml:space="preserve">2. Терміни, що використовуються у цій Методиці, вживаються у значеннях, наведених у Законах України </w:t>
      </w:r>
      <w:hyperlink r:id="rId9" w:tgtFrame="_blank" w:history="1">
        <w:r>
          <w:rPr>
            <w:rStyle w:val="arvts96"/>
            <w:b w:val="0"/>
            <w:bCs w:val="0"/>
            <w:i w:val="0"/>
            <w:iCs w:val="0"/>
            <w:lang w:val="uk" w:eastAsia="uk"/>
          </w:rPr>
          <w:t>«Про наукову і науково-технічну діяльність»</w:t>
        </w:r>
      </w:hyperlink>
      <w:r>
        <w:rPr>
          <w:lang w:val="uk" w:eastAsia="uk"/>
        </w:rPr>
        <w:t xml:space="preserve">, </w:t>
      </w:r>
      <w:hyperlink r:id="rId10" w:tgtFrame="_blank" w:history="1">
        <w:r>
          <w:rPr>
            <w:rStyle w:val="arvts96"/>
            <w:b w:val="0"/>
            <w:bCs w:val="0"/>
            <w:i w:val="0"/>
            <w:iCs w:val="0"/>
            <w:lang w:val="uk" w:eastAsia="uk"/>
          </w:rPr>
          <w:t>«Про вищу освіту»</w:t>
        </w:r>
      </w:hyperlink>
      <w:r>
        <w:rPr>
          <w:lang w:val="uk" w:eastAsia="uk"/>
        </w:rPr>
        <w:t xml:space="preserve">, </w:t>
      </w:r>
      <w:hyperlink r:id="rId11" w:tgtFrame="_blank" w:history="1">
        <w:r>
          <w:rPr>
            <w:rStyle w:val="arvts96"/>
            <w:b w:val="0"/>
            <w:bCs w:val="0"/>
            <w:i w:val="0"/>
            <w:iCs w:val="0"/>
            <w:lang w:val="uk" w:eastAsia="uk"/>
          </w:rPr>
          <w:t>«Про запобігання корупції»</w:t>
        </w:r>
      </w:hyperlink>
      <w:r>
        <w:rPr>
          <w:lang w:val="uk" w:eastAsia="uk"/>
        </w:rPr>
        <w:t xml:space="preserve"> та </w:t>
      </w:r>
      <w:hyperlink r:id="rId5" w:anchor="n10" w:tgtFrame="_blank" w:history="1">
        <w:r>
          <w:rPr>
            <w:rStyle w:val="arvts96"/>
            <w:b w:val="0"/>
            <w:bCs w:val="0"/>
            <w:i w:val="0"/>
            <w:iCs w:val="0"/>
            <w:lang w:val="uk" w:eastAsia="uk"/>
          </w:rPr>
          <w:t>Порядку</w:t>
        </w:r>
      </w:hyperlink>
      <w:r>
        <w:rPr>
          <w:lang w:val="uk" w:eastAsia="uk"/>
        </w:rPr>
        <w:t>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24" w:name="n25"/>
      <w:bookmarkEnd w:id="24"/>
      <w:r>
        <w:rPr>
          <w:lang w:val="uk" w:eastAsia="uk"/>
        </w:rPr>
        <w:t>3. Оцінювання ефективності наукової (науково-технічної) діяльності наукової установи (далі - НУ) в цілому та закладу вищої освіти (далі - ЗВО) за науковим напрямом проводиться, якщо: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25" w:name="n26"/>
      <w:bookmarkEnd w:id="25"/>
      <w:r>
        <w:rPr>
          <w:lang w:val="uk" w:eastAsia="uk"/>
        </w:rPr>
        <w:t>1) загальна кількість наукових та/або науково-педагогічних працівників за основним місцем роботи, які працюють за відповідним науковим напрямом є не меншою ніж 10 осіб;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26" w:name="n27"/>
      <w:bookmarkEnd w:id="26"/>
      <w:r>
        <w:rPr>
          <w:lang w:val="uk" w:eastAsia="uk"/>
        </w:rPr>
        <w:t>2) всі працівники відповідно до підпункту 1 цього пункту працевлаштовані не менше ніж на 0,75 ставки за основним місцем роботи у цій / цьому НУ / ЗВО.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27" w:name="n28"/>
      <w:bookmarkEnd w:id="27"/>
      <w:r>
        <w:rPr>
          <w:lang w:val="uk" w:eastAsia="uk"/>
        </w:rPr>
        <w:t>4. Норма, зазначена у підпункті 1 пункту 3 цього розділу, не поширюється на заповідники, дендропарки та музеї, які є окремими юридичними особами.</w:t>
      </w:r>
    </w:p>
    <w:p>
      <w:pPr>
        <w:pStyle w:val="rvps7"/>
        <w:spacing w:before="150" w:after="150"/>
        <w:ind w:left="450" w:right="450"/>
        <w:rPr>
          <w:lang w:val="uk" w:eastAsia="uk"/>
        </w:rPr>
      </w:pPr>
      <w:bookmarkStart w:id="28" w:name="n29"/>
      <w:bookmarkEnd w:id="28"/>
      <w:r>
        <w:rPr>
          <w:rStyle w:val="spanrvts15"/>
          <w:b/>
          <w:bCs/>
          <w:i w:val="0"/>
          <w:iCs w:val="0"/>
          <w:lang w:val="uk" w:eastAsia="uk"/>
        </w:rPr>
        <w:t>II. Організація проведення державної атестації наукових установ / закладів вищої освіти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29" w:name="n30"/>
      <w:bookmarkEnd w:id="29"/>
      <w:r>
        <w:rPr>
          <w:lang w:val="uk" w:eastAsia="uk"/>
        </w:rPr>
        <w:t>1. Для проведення державної атестації НУ / ЗВО за підписом керівника подає до МОН в електронній формі: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30" w:name="n31"/>
      <w:bookmarkEnd w:id="30"/>
      <w:r>
        <w:rPr>
          <w:lang w:val="uk" w:eastAsia="uk"/>
        </w:rPr>
        <w:t xml:space="preserve">заявку на проведення державної атестації, в якій зазначається розподіл усіх структурних підрозділів (наукових та/або науково-дослідних, та / або навчально-наукових, та / або навчально-науково-виробничих тощо) за науковими напрямами (далі - заявка) за формою згідно з </w:t>
      </w:r>
      <w:hyperlink w:anchor="n100" w:history="1">
        <w:r>
          <w:rPr>
            <w:rStyle w:val="arvts99"/>
            <w:b w:val="0"/>
            <w:bCs w:val="0"/>
            <w:i w:val="0"/>
            <w:iCs w:val="0"/>
            <w:lang w:val="uk" w:eastAsia="uk"/>
          </w:rPr>
          <w:t>додатком 1</w:t>
        </w:r>
      </w:hyperlink>
      <w:r>
        <w:rPr>
          <w:lang w:val="uk" w:eastAsia="uk"/>
        </w:rPr>
        <w:t xml:space="preserve"> до цієї Методики. Розподіл за всіма науковими напрямами фіксується при хронологічно першому поданні матеріалів на чергову (базову) державну атестацію і не змінюється при поданні заявки на проведення державної атестації за іншими напрямами, у тому числі і під час позачергової державної атестації;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31" w:name="n32"/>
      <w:bookmarkEnd w:id="31"/>
      <w:r>
        <w:rPr>
          <w:lang w:val="uk" w:eastAsia="uk"/>
        </w:rPr>
        <w:t xml:space="preserve">інформаційні матеріали для проведення державної атестації НУ / ЗВО (далі - інформаційні матеріали), що містять відомості про діяльність НУ / ЗВО відповідно до </w:t>
      </w:r>
      <w:hyperlink r:id="rId5" w:anchor="n42" w:tgtFrame="_blank" w:history="1">
        <w:r>
          <w:rPr>
            <w:rStyle w:val="arvts96"/>
            <w:b w:val="0"/>
            <w:bCs w:val="0"/>
            <w:i w:val="0"/>
            <w:iCs w:val="0"/>
            <w:lang w:val="uk" w:eastAsia="uk"/>
          </w:rPr>
          <w:t>пункту 9</w:t>
        </w:r>
      </w:hyperlink>
      <w:r>
        <w:rPr>
          <w:lang w:val="uk" w:eastAsia="uk"/>
        </w:rPr>
        <w:t xml:space="preserve"> Порядку, а саме: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32" w:name="n33"/>
      <w:bookmarkEnd w:id="32"/>
      <w:r>
        <w:rPr>
          <w:lang w:val="uk" w:eastAsia="uk"/>
        </w:rPr>
        <w:t>перелік показників, за якими здійснюється оцінка результативності наукової (науково-технічної) діяльності НУ / ЗВО за науковим напрямом та потенціалу розвитку цього наукового напряму, згідно з</w:t>
      </w:r>
      <w:hyperlink w:anchor="n102" w:history="1">
        <w:r>
          <w:rPr>
            <w:rStyle w:val="arvts99"/>
            <w:b w:val="0"/>
            <w:bCs w:val="0"/>
            <w:i w:val="0"/>
            <w:iCs w:val="0"/>
            <w:lang w:val="uk" w:eastAsia="uk"/>
          </w:rPr>
          <w:t>додатком 2</w:t>
        </w:r>
      </w:hyperlink>
      <w:r>
        <w:rPr>
          <w:lang w:val="uk" w:eastAsia="uk"/>
        </w:rPr>
        <w:t xml:space="preserve"> до цієї Методики;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33" w:name="n34"/>
      <w:bookmarkEnd w:id="33"/>
      <w:r>
        <w:rPr>
          <w:lang w:val="uk" w:eastAsia="uk"/>
        </w:rPr>
        <w:t xml:space="preserve">відомості про наукову та науково-технічну діяльність НУ / ЗВО за науковим напрямом, згідно з </w:t>
      </w:r>
      <w:hyperlink w:anchor="n104" w:history="1">
        <w:r>
          <w:rPr>
            <w:rStyle w:val="arvts99"/>
            <w:b w:val="0"/>
            <w:bCs w:val="0"/>
            <w:i w:val="0"/>
            <w:iCs w:val="0"/>
            <w:lang w:val="uk" w:eastAsia="uk"/>
          </w:rPr>
          <w:t>додатком 3</w:t>
        </w:r>
      </w:hyperlink>
      <w:r>
        <w:rPr>
          <w:lang w:val="uk" w:eastAsia="uk"/>
        </w:rPr>
        <w:t xml:space="preserve"> до цієї Методики українською та англійською мовами;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34" w:name="n35"/>
      <w:bookmarkEnd w:id="34"/>
      <w:r>
        <w:rPr>
          <w:lang w:val="uk" w:eastAsia="uk"/>
        </w:rPr>
        <w:t xml:space="preserve">описи впливів результатів діяльності НУ / ЗВО на розвиток науки, суспільства та економіки (далі - опис впливу), згідно з </w:t>
      </w:r>
      <w:hyperlink w:anchor="n106" w:history="1">
        <w:r>
          <w:rPr>
            <w:rStyle w:val="arvts99"/>
            <w:b w:val="0"/>
            <w:bCs w:val="0"/>
            <w:i w:val="0"/>
            <w:iCs w:val="0"/>
            <w:lang w:val="uk" w:eastAsia="uk"/>
          </w:rPr>
          <w:t>додатком 4</w:t>
        </w:r>
      </w:hyperlink>
      <w:r>
        <w:rPr>
          <w:lang w:val="uk" w:eastAsia="uk"/>
        </w:rPr>
        <w:t xml:space="preserve"> до цієї Методики, українською та англійською мовами.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35" w:name="n36"/>
      <w:bookmarkEnd w:id="35"/>
      <w:r>
        <w:rPr>
          <w:lang w:val="uk" w:eastAsia="uk"/>
        </w:rPr>
        <w:t>Дані про діяльність НУ / ЗВО за звітний рік подаються станом на 31 грудня звітного року.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36" w:name="n37"/>
      <w:bookmarkEnd w:id="36"/>
      <w:r>
        <w:rPr>
          <w:lang w:val="uk" w:eastAsia="uk"/>
        </w:rPr>
        <w:t>ЗВО подають заявку та інформаційні матеріали за кожним науковим напрямом окремо. НУ подають заявку та інформаційні матеріали за одним науковим напрямом.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37" w:name="n38"/>
      <w:bookmarkEnd w:id="37"/>
      <w:r>
        <w:rPr>
          <w:lang w:val="uk" w:eastAsia="uk"/>
        </w:rPr>
        <w:t>Всі показники, відомості та описи впливів, що подаються НУ / ЗВО на державну атестацію, повинні мати документальне підтвердження.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38" w:name="n39"/>
      <w:bookmarkEnd w:id="38"/>
      <w:r>
        <w:rPr>
          <w:lang w:val="uk" w:eastAsia="uk"/>
        </w:rPr>
        <w:t xml:space="preserve">Інформаційні матеріали, які подаються за науковими напрямами «аграрно-ветеринарний», «гуманітарно-мистецький», «суспільний», «біомедичний», «природничо-математичний», «інженерно-технологічний», не повинні містити інформацію з обмеженим доступом. 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39" w:name="n40"/>
      <w:bookmarkEnd w:id="39"/>
      <w:r>
        <w:rPr>
          <w:lang w:val="uk" w:eastAsia="uk"/>
        </w:rPr>
        <w:t xml:space="preserve">Інформаційні матеріали, які подаються за науковим напрямом «безпековий», можуть містити службову інформацію, робота з якою має відбуватися з дотриманням </w:t>
      </w:r>
      <w:hyperlink r:id="rId12" w:anchor="n11" w:tgtFrame="_blank" w:history="1">
        <w:r>
          <w:rPr>
            <w:rStyle w:val="arvts96"/>
            <w:b w:val="0"/>
            <w:bCs w:val="0"/>
            <w:i w:val="0"/>
            <w:iCs w:val="0"/>
            <w:lang w:val="uk" w:eastAsia="uk"/>
          </w:rPr>
          <w:t>Типової інструкції про порядок ведення обліку, зберігання, використання і знищення документів та інших матеріальних носіїв інформації, що містять службову інформацію</w:t>
        </w:r>
      </w:hyperlink>
      <w:r>
        <w:rPr>
          <w:lang w:val="uk" w:eastAsia="uk"/>
        </w:rPr>
        <w:t>, затвердженої постановою Кабінету Міністрів України від 19 жовтня 2016 року № 736.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40" w:name="n41"/>
      <w:bookmarkEnd w:id="40"/>
      <w:r>
        <w:rPr>
          <w:lang w:val="uk" w:eastAsia="uk"/>
        </w:rPr>
        <w:t>2. НУ / ЗВО зобов’язані подати один загальний опис впливу та додатково по одному опису впливу від кожного наукового або навчально-наукового структурного підрозділу (відділу / кафедри / лабораторії / центру тощо), які формують науковий напрям, але не більше 10 описів впливу від НУ / ЗВО в цілому.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41" w:name="n42"/>
      <w:bookmarkEnd w:id="41"/>
      <w:r>
        <w:rPr>
          <w:lang w:val="uk" w:eastAsia="uk"/>
        </w:rPr>
        <w:t>НУ / ЗВО обирає для звітування такі види опису впливу: на розвиток економіки; на забезпечення безпеки та оборони країни; на забезпечення здоров’я та якості життя; на розвиток передової науки; на популяризацію результатів наукових досліджень; на розвиток культури; на розвиток освіти; на збереження стану навколишнього природного середовища, на забезпечення продовольчої безпеки; на розвиток державної політики; на розвиток соціальної сфери; на розвиток технологій.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42" w:name="n43"/>
      <w:bookmarkEnd w:id="42"/>
      <w:r>
        <w:rPr>
          <w:lang w:val="uk" w:eastAsia="uk"/>
        </w:rPr>
        <w:t>Кількість описів впливів, які подаються НУ / ЗВО на державну атестацію, за одним видом не може перевищувати 70 відсотків від загальної кількості описів впливів.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43" w:name="n44"/>
      <w:bookmarkEnd w:id="43"/>
      <w:r>
        <w:rPr>
          <w:lang w:val="uk" w:eastAsia="uk"/>
        </w:rPr>
        <w:t>Кожен опис впливу повинен містити підтвердження впливу: акти виконаних робіт за договорами, контрактами, ліцензійними угодами; посилання на результати впливу (нормативні документи, стандарти, будівельні норми тощо); експертні висновки, документи наукової та науково-технічної експертизи; публікації на офіційному вебсайті (за наявності такого) об’єкту впливу; публікації результатів соціологічних досліджень впливу, публікації результатів впливу у всеукраїнських чи закордонних медіа; документи щодо розроблених і впроваджених методик лікування; публікації на офіційних вебсайтах центральних органів виконавчої влади, органів місцевого самоврядування; публікації на офіційних вебсайтах публічних органів іноземних держав, міжнародних організацій; підтвердження широкого використання результатів науковою та освітньою спільнотою; підготовлені законопроєкти (нормативно-правові документи, аналітичні довідки (висновки)), підготовлені на замовлення державних органів.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44" w:name="n45"/>
      <w:bookmarkEnd w:id="44"/>
      <w:r>
        <w:rPr>
          <w:lang w:val="uk" w:eastAsia="uk"/>
        </w:rPr>
        <w:t>3. МОН: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45" w:name="n46"/>
      <w:bookmarkEnd w:id="45"/>
      <w:r>
        <w:rPr>
          <w:lang w:val="uk" w:eastAsia="uk"/>
        </w:rPr>
        <w:t>забезпечує на основі доступних і відкритих державних і міжнародних реєстрів, баз даних та інших інформаційних ресурсів з питань наукової (науково-технічної) діяльності формування бази даних державної атестації в Національній електронній науково-інформаційній системі «URIS», перевіряє у взаємодії з іншими органами державної влади повноту та достовірність наявної інформації, а також забезпечує організацію і проведення державної атестації НУ / ЗВО з використанням Національної електронної науково-інформаційної системи «URIS»;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46" w:name="n47"/>
      <w:bookmarkEnd w:id="46"/>
      <w:r>
        <w:rPr>
          <w:lang w:val="uk" w:eastAsia="uk"/>
        </w:rPr>
        <w:t>забезпечує реєстрацію та перевіряє правильність оформлення поданих НУ/ЗВО заявок та інформаційних матеріалів;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47" w:name="n48"/>
      <w:bookmarkEnd w:id="47"/>
      <w:r>
        <w:rPr>
          <w:lang w:val="uk" w:eastAsia="uk"/>
        </w:rPr>
        <w:t>забезпечує координацію та електронну (технічну, програмну, інформаційну) взаємодію щодо відомостей і даних реєстрів про наукову (науково-технічну) діяльність НУ / ЗВО;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48" w:name="n49"/>
      <w:bookmarkEnd w:id="48"/>
      <w:r>
        <w:rPr>
          <w:lang w:val="uk" w:eastAsia="uk"/>
        </w:rPr>
        <w:t>забезпечує проведення розрахунку класифікаційної оцінки НУ / ЗВО;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49" w:name="n50"/>
      <w:bookmarkEnd w:id="49"/>
      <w:r>
        <w:rPr>
          <w:lang w:val="uk" w:eastAsia="uk"/>
        </w:rPr>
        <w:t>здійснює організацію доступу до інформаційних матеріалів членам експертних груп за відповідними науковими напрямами для проведення експертного оцінювання ефективності діяльності НУ / ЗВО;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50" w:name="n51"/>
      <w:bookmarkEnd w:id="50"/>
      <w:r>
        <w:rPr>
          <w:lang w:val="uk" w:eastAsia="uk"/>
        </w:rPr>
        <w:t>забезпечує (за необхідності) належний режим роботи зі службовою інформацією;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51" w:name="n52"/>
      <w:bookmarkEnd w:id="51"/>
      <w:r>
        <w:rPr>
          <w:lang w:val="uk" w:eastAsia="uk"/>
        </w:rPr>
        <w:t>готує та надає рекомендації щодо підготовки інформаційних матеріалів;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52" w:name="n53"/>
      <w:bookmarkEnd w:id="52"/>
      <w:r>
        <w:rPr>
          <w:lang w:val="uk" w:eastAsia="uk"/>
        </w:rPr>
        <w:t>приймає рішення про повернення на доопрацювання НУ / ЗВО з використанням Національної електронної науково-інформаційної системи «URIS» заявки та/або інформаційних матеріалів у разі їх неналежного оформлення.</w:t>
      </w:r>
    </w:p>
    <w:p>
      <w:pPr>
        <w:pStyle w:val="rvps7"/>
        <w:spacing w:before="150" w:after="150"/>
        <w:ind w:left="450" w:right="450"/>
        <w:rPr>
          <w:lang w:val="uk" w:eastAsia="uk"/>
        </w:rPr>
      </w:pPr>
      <w:bookmarkStart w:id="53" w:name="n54"/>
      <w:bookmarkEnd w:id="53"/>
      <w:r>
        <w:rPr>
          <w:rStyle w:val="spanrvts15"/>
          <w:b/>
          <w:bCs/>
          <w:i w:val="0"/>
          <w:iCs w:val="0"/>
          <w:lang w:val="uk" w:eastAsia="uk"/>
        </w:rPr>
        <w:t>III. Визначення класифікаційної оцінки наукової установи/закладу вищої освіти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54" w:name="n55"/>
      <w:bookmarkEnd w:id="54"/>
      <w:r>
        <w:rPr>
          <w:lang w:val="uk" w:eastAsia="uk"/>
        </w:rPr>
        <w:t>1. Для визначення класифікаційної оцінки НУ / ЗВО використовуються: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55" w:name="n56"/>
      <w:bookmarkEnd w:id="55"/>
      <w:r>
        <w:rPr>
          <w:lang w:val="uk" w:eastAsia="uk"/>
        </w:rPr>
        <w:t>показники кадрового потенціалу (П</w:t>
      </w:r>
      <w:r>
        <w:rPr>
          <w:rStyle w:val="spanrvts40"/>
          <w:b/>
          <w:bCs/>
          <w:i w:val="0"/>
          <w:iCs w:val="0"/>
          <w:lang w:val="uk" w:eastAsia="uk"/>
        </w:rPr>
        <w:t>i</w:t>
      </w:r>
      <w:r>
        <w:rPr>
          <w:lang w:val="uk" w:eastAsia="uk"/>
        </w:rPr>
        <w:t>), показники результативності (Р</w:t>
      </w:r>
      <w:r>
        <w:rPr>
          <w:rStyle w:val="spanrvts40"/>
          <w:b/>
          <w:bCs/>
          <w:i w:val="0"/>
          <w:iCs w:val="0"/>
          <w:lang w:val="uk" w:eastAsia="uk"/>
        </w:rPr>
        <w:t>i</w:t>
      </w:r>
      <w:r>
        <w:rPr>
          <w:lang w:val="uk" w:eastAsia="uk"/>
        </w:rPr>
        <w:t>) та показники фінансової діяльності (Ф</w:t>
      </w:r>
      <w:r>
        <w:rPr>
          <w:rStyle w:val="spanrvts40"/>
          <w:b/>
          <w:bCs/>
          <w:i w:val="0"/>
          <w:iCs w:val="0"/>
          <w:lang w:val="uk" w:eastAsia="uk"/>
        </w:rPr>
        <w:t>i</w:t>
      </w:r>
      <w:r>
        <w:rPr>
          <w:lang w:val="uk" w:eastAsia="uk"/>
        </w:rPr>
        <w:t>), зазначені у додатку 2 до цієї Методики, розраховані як середнє арифметичне значення за останні п’ять років;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56" w:name="n57"/>
      <w:bookmarkEnd w:id="56"/>
      <w:r>
        <w:rPr>
          <w:lang w:val="uk" w:eastAsia="uk"/>
        </w:rPr>
        <w:t>питомі показники результативності (індикатори) (І</w:t>
      </w:r>
      <w:r>
        <w:rPr>
          <w:rStyle w:val="spanrvts40"/>
          <w:b/>
          <w:bCs/>
          <w:i w:val="0"/>
          <w:iCs w:val="0"/>
          <w:lang w:val="uk" w:eastAsia="uk"/>
        </w:rPr>
        <w:t>i</w:t>
      </w:r>
      <w:r>
        <w:rPr>
          <w:lang w:val="uk" w:eastAsia="uk"/>
        </w:rPr>
        <w:t xml:space="preserve">), за якими здійснюється розрахунок класифікаційної оцінки за науковим напрямом, розраховані за формулами згідно з </w:t>
      </w:r>
      <w:hyperlink w:anchor="n108" w:history="1">
        <w:r>
          <w:rPr>
            <w:rStyle w:val="arvts99"/>
            <w:b w:val="0"/>
            <w:bCs w:val="0"/>
            <w:i w:val="0"/>
            <w:iCs w:val="0"/>
            <w:lang w:val="uk" w:eastAsia="uk"/>
          </w:rPr>
          <w:t>додатком 5</w:t>
        </w:r>
      </w:hyperlink>
      <w:r>
        <w:rPr>
          <w:lang w:val="uk" w:eastAsia="uk"/>
        </w:rPr>
        <w:t xml:space="preserve"> до цієї Методики;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57" w:name="n58"/>
      <w:bookmarkEnd w:id="57"/>
      <w:r>
        <w:rPr>
          <w:lang w:val="uk" w:eastAsia="uk"/>
        </w:rPr>
        <w:t>вагові коефіцієнти (коефіцієнти пріоритетності) (K</w:t>
      </w:r>
      <w:r>
        <w:rPr>
          <w:rStyle w:val="spanrvts40"/>
          <w:b/>
          <w:bCs/>
          <w:i w:val="0"/>
          <w:iCs w:val="0"/>
          <w:lang w:val="uk" w:eastAsia="uk"/>
        </w:rPr>
        <w:t>i</w:t>
      </w:r>
      <w:r>
        <w:rPr>
          <w:lang w:val="uk" w:eastAsia="uk"/>
        </w:rPr>
        <w:t>), за якими визначається відносна значущість показника І</w:t>
      </w:r>
      <w:r>
        <w:rPr>
          <w:rStyle w:val="spanrvts40"/>
          <w:b/>
          <w:bCs/>
          <w:i w:val="0"/>
          <w:iCs w:val="0"/>
          <w:lang w:val="uk" w:eastAsia="uk"/>
        </w:rPr>
        <w:t>i</w:t>
      </w:r>
      <w:r>
        <w:rPr>
          <w:lang w:val="uk" w:eastAsia="uk"/>
        </w:rPr>
        <w:t>, значення яких наведено у додатку 5 до цієї Методики.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58" w:name="n59"/>
      <w:bookmarkEnd w:id="58"/>
      <w:r>
        <w:rPr>
          <w:lang w:val="uk" w:eastAsia="uk"/>
        </w:rPr>
        <w:t>2. Під час розрахунків показників П</w:t>
      </w:r>
      <w:r>
        <w:rPr>
          <w:rStyle w:val="spanrvts40"/>
          <w:b/>
          <w:bCs/>
          <w:i w:val="0"/>
          <w:iCs w:val="0"/>
          <w:lang w:val="uk" w:eastAsia="uk"/>
        </w:rPr>
        <w:t>i</w:t>
      </w:r>
      <w:r>
        <w:rPr>
          <w:lang w:val="uk" w:eastAsia="uk"/>
        </w:rPr>
        <w:t>, Р</w:t>
      </w:r>
      <w:r>
        <w:rPr>
          <w:rStyle w:val="spanrvts40"/>
          <w:b/>
          <w:bCs/>
          <w:i w:val="0"/>
          <w:iCs w:val="0"/>
          <w:lang w:val="uk" w:eastAsia="uk"/>
        </w:rPr>
        <w:t>i</w:t>
      </w:r>
      <w:r>
        <w:rPr>
          <w:lang w:val="uk" w:eastAsia="uk"/>
        </w:rPr>
        <w:t xml:space="preserve"> та Ф</w:t>
      </w:r>
      <w:r>
        <w:rPr>
          <w:rStyle w:val="spanrvts40"/>
          <w:b/>
          <w:bCs/>
          <w:i w:val="0"/>
          <w:iCs w:val="0"/>
          <w:lang w:val="uk" w:eastAsia="uk"/>
        </w:rPr>
        <w:t>i</w:t>
      </w:r>
      <w:r>
        <w:rPr>
          <w:lang w:val="uk" w:eastAsia="uk"/>
        </w:rPr>
        <w:t xml:space="preserve"> враховуються документально підтверджені їхні значення за кожен з п’яти років. У разі відсутності такого підтвердження - значення відповідного показника прирівнюється до нуля.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59" w:name="n60"/>
      <w:bookmarkEnd w:id="59"/>
      <w:r>
        <w:rPr>
          <w:lang w:val="uk" w:eastAsia="uk"/>
        </w:rPr>
        <w:t>3. Розраховані відповідно до абзацу третього пункту 1 цього розділу індикатори (І</w:t>
      </w:r>
      <w:r>
        <w:rPr>
          <w:rStyle w:val="spanrvts40"/>
          <w:b/>
          <w:bCs/>
          <w:i w:val="0"/>
          <w:iCs w:val="0"/>
          <w:lang w:val="uk" w:eastAsia="uk"/>
        </w:rPr>
        <w:t>i</w:t>
      </w:r>
      <w:r>
        <w:rPr>
          <w:lang w:val="uk" w:eastAsia="uk"/>
        </w:rPr>
        <w:t>) всіх НУ / ЗВО за відповідним науковим напрямом впорядковуються в порядку зростання, від найменшого числа до найбільшого.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60" w:name="n61"/>
      <w:bookmarkEnd w:id="60"/>
      <w:r>
        <w:rPr>
          <w:lang w:val="uk" w:eastAsia="uk"/>
        </w:rPr>
        <w:t>За отриманим рядом індикаторів (І</w:t>
      </w:r>
      <w:r>
        <w:rPr>
          <w:rStyle w:val="spanrvts40"/>
          <w:b/>
          <w:bCs/>
          <w:i w:val="0"/>
          <w:iCs w:val="0"/>
          <w:lang w:val="uk" w:eastAsia="uk"/>
        </w:rPr>
        <w:t>i</w:t>
      </w:r>
      <w:r>
        <w:rPr>
          <w:lang w:val="uk" w:eastAsia="uk"/>
        </w:rPr>
        <w:t>) визначається медіана.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61" w:name="n62"/>
      <w:bookmarkEnd w:id="61"/>
      <w:r>
        <w:rPr>
          <w:lang w:val="uk" w:eastAsia="uk"/>
        </w:rPr>
        <w:t>Шляхом нормування індикаторів (І</w:t>
      </w:r>
      <w:r>
        <w:rPr>
          <w:rStyle w:val="spanrvts40"/>
          <w:b/>
          <w:bCs/>
          <w:i w:val="0"/>
          <w:iCs w:val="0"/>
          <w:lang w:val="uk" w:eastAsia="uk"/>
        </w:rPr>
        <w:t>i</w:t>
      </w:r>
      <w:r>
        <w:rPr>
          <w:lang w:val="uk" w:eastAsia="uk"/>
        </w:rPr>
        <w:t>) за максимальним значенням визначаються нормовані значення індикаторів (І</w:t>
      </w:r>
      <w:r>
        <w:rPr>
          <w:rStyle w:val="spanrvts40"/>
          <w:b/>
          <w:bCs/>
          <w:i w:val="0"/>
          <w:iCs w:val="0"/>
          <w:lang w:val="uk" w:eastAsia="uk"/>
        </w:rPr>
        <w:t>i</w:t>
      </w:r>
      <w:r>
        <w:rPr>
          <w:lang w:val="uk" w:eastAsia="uk"/>
        </w:rPr>
        <w:t>*).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62" w:name="n63"/>
      <w:bookmarkEnd w:id="62"/>
      <w:r>
        <w:rPr>
          <w:lang w:val="uk" w:eastAsia="uk"/>
        </w:rPr>
        <w:t>4. У класифікаційній оцінці враховуються: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63" w:name="n64"/>
      <w:bookmarkEnd w:id="63"/>
      <w:r>
        <w:rPr>
          <w:lang w:val="uk" w:eastAsia="uk"/>
        </w:rPr>
        <w:t>1) індикатори (І</w:t>
      </w:r>
      <w:r>
        <w:rPr>
          <w:rStyle w:val="spanrvts40"/>
          <w:b/>
          <w:bCs/>
          <w:i w:val="0"/>
          <w:iCs w:val="0"/>
          <w:lang w:val="uk" w:eastAsia="uk"/>
        </w:rPr>
        <w:t>i</w:t>
      </w:r>
      <w:r>
        <w:rPr>
          <w:lang w:val="uk" w:eastAsia="uk"/>
        </w:rPr>
        <w:t>), що перевищують або дорівнюють медіані, крім випадків, коли медіана дорівнює нулю, тоді у класифікаційній оцінці враховуються лише ті індикатори (І</w:t>
      </w:r>
      <w:r>
        <w:rPr>
          <w:rStyle w:val="spanrvts40"/>
          <w:b/>
          <w:bCs/>
          <w:i w:val="0"/>
          <w:iCs w:val="0"/>
          <w:lang w:val="uk" w:eastAsia="uk"/>
        </w:rPr>
        <w:t>i</w:t>
      </w:r>
      <w:r>
        <w:rPr>
          <w:lang w:val="uk" w:eastAsia="uk"/>
        </w:rPr>
        <w:t>), що перевищують медіану;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64" w:name="n65"/>
      <w:bookmarkEnd w:id="64"/>
      <w:r>
        <w:rPr>
          <w:lang w:val="uk" w:eastAsia="uk"/>
        </w:rPr>
        <w:t>2) унормовані значення індикаторів (І</w:t>
      </w:r>
      <w:r>
        <w:rPr>
          <w:rStyle w:val="spanrvts40"/>
          <w:b/>
          <w:bCs/>
          <w:i w:val="0"/>
          <w:iCs w:val="0"/>
          <w:lang w:val="uk" w:eastAsia="uk"/>
        </w:rPr>
        <w:t>i</w:t>
      </w:r>
      <w:r>
        <w:rPr>
          <w:lang w:val="uk" w:eastAsia="uk"/>
        </w:rPr>
        <w:t>*), що не перевищують медіану, визначені відповідно до абзацу третього пункту 3 цього розділу.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65" w:name="n66"/>
      <w:bookmarkEnd w:id="65"/>
      <w:r>
        <w:rPr>
          <w:lang w:val="uk" w:eastAsia="uk"/>
        </w:rPr>
        <w:t>5. Загальна класифікаційна оцінка визначається як сума всіх вагових коефіцієнтів індикаторів, зазначених у підпункті 1 пункту 4 цього розділу, та добутків унормованих значень індикаторів (І</w:t>
      </w:r>
      <w:r>
        <w:rPr>
          <w:rStyle w:val="spanrvts40"/>
          <w:b/>
          <w:bCs/>
          <w:i w:val="0"/>
          <w:iCs w:val="0"/>
          <w:lang w:val="uk" w:eastAsia="uk"/>
        </w:rPr>
        <w:t>i</w:t>
      </w:r>
      <w:r>
        <w:rPr>
          <w:lang w:val="uk" w:eastAsia="uk"/>
        </w:rPr>
        <w:t>*) на їх вагові коефіцієнти, зазначених в підпункті 2 пункту 4 цього розділу.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66" w:name="n67"/>
      <w:bookmarkEnd w:id="66"/>
      <w:r>
        <w:rPr>
          <w:lang w:val="uk" w:eastAsia="uk"/>
        </w:rPr>
        <w:t>6. Після обчислення класифікаційної оцінки інформаційні матеріали протягом 10 робочих днів передаються експертним групам.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67" w:name="n68"/>
      <w:bookmarkEnd w:id="67"/>
      <w:r>
        <w:rPr>
          <w:lang w:val="uk" w:eastAsia="uk"/>
        </w:rPr>
        <w:t xml:space="preserve">7. Під час проведення державної атестації новоутворених та реорганізованих НУ / ЗВО та позачергових державних атестацій НУ / ЗВО, передбачених </w:t>
      </w:r>
      <w:hyperlink r:id="rId5" w:anchor="n80" w:tgtFrame="_blank" w:history="1">
        <w:r>
          <w:rPr>
            <w:rStyle w:val="arvts96"/>
            <w:b w:val="0"/>
            <w:bCs w:val="0"/>
            <w:i w:val="0"/>
            <w:iCs w:val="0"/>
            <w:lang w:val="uk" w:eastAsia="uk"/>
          </w:rPr>
          <w:t>пунктами 18</w:t>
        </w:r>
      </w:hyperlink>
      <w:r>
        <w:rPr>
          <w:lang w:val="uk" w:eastAsia="uk"/>
        </w:rPr>
        <w:t xml:space="preserve"> та </w:t>
      </w:r>
      <w:hyperlink r:id="rId5" w:anchor="n176" w:tgtFrame="_blank" w:history="1">
        <w:r>
          <w:rPr>
            <w:rStyle w:val="arvts96"/>
            <w:b w:val="0"/>
            <w:bCs w:val="0"/>
            <w:i w:val="0"/>
            <w:iCs w:val="0"/>
            <w:lang w:val="uk" w:eastAsia="uk"/>
          </w:rPr>
          <w:t>18</w:t>
        </w:r>
      </w:hyperlink>
      <w:hyperlink r:id="rId5" w:anchor="n176" w:tgtFrame="_blank" w:history="1">
        <w:r>
          <w:rPr>
            <w:rFonts w:ascii="Times New Roman" w:eastAsia="Times New Roman" w:hAnsi="Times New Roman" w:cs="Times New Roman"/>
            <w:b/>
            <w:bCs/>
            <w:i w:val="0"/>
            <w:iCs w:val="0"/>
            <w:color w:val="000099"/>
            <w:sz w:val="0"/>
            <w:szCs w:val="0"/>
            <w:vertAlign w:val="superscript"/>
            <w:lang w:val="uk" w:eastAsia="uk"/>
          </w:rPr>
          <w:t>-</w:t>
        </w:r>
        <w:r>
          <w:rPr>
            <w:rStyle w:val="arvts117"/>
            <w:b/>
            <w:bCs/>
            <w:i w:val="0"/>
            <w:iCs w:val="0"/>
            <w:lang w:val="uk" w:eastAsia="uk"/>
          </w:rPr>
          <w:t>1</w:t>
        </w:r>
      </w:hyperlink>
      <w:r>
        <w:rPr>
          <w:lang w:val="uk" w:eastAsia="uk"/>
        </w:rPr>
        <w:t xml:space="preserve"> Порядку, для визначення класифікаційної оцінки НУ / ЗВО береться значення медіан індикаторів останньої чергової (базової) державної атестації, розраховане відповідно до цього розділу за відповідним науковим напрямом.</w:t>
      </w:r>
    </w:p>
    <w:p>
      <w:pPr>
        <w:pStyle w:val="rvps7"/>
        <w:spacing w:before="150" w:after="150"/>
        <w:ind w:left="450" w:right="450"/>
        <w:rPr>
          <w:lang w:val="uk" w:eastAsia="uk"/>
        </w:rPr>
      </w:pPr>
      <w:bookmarkStart w:id="68" w:name="n69"/>
      <w:bookmarkEnd w:id="68"/>
      <w:r>
        <w:rPr>
          <w:rStyle w:val="spanrvts15"/>
          <w:b/>
          <w:bCs/>
          <w:i w:val="0"/>
          <w:iCs w:val="0"/>
          <w:lang w:val="uk" w:eastAsia="uk"/>
        </w:rPr>
        <w:t>IV. Експертне оцінювання ефективності діяльності наукової установи / закладу вищої освіти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69" w:name="n70"/>
      <w:bookmarkEnd w:id="69"/>
      <w:r>
        <w:rPr>
          <w:lang w:val="uk" w:eastAsia="uk"/>
        </w:rPr>
        <w:t>1. Експертне оцінювання ефективності діяльності НУ / ЗВО проводить експертна група, утворена за відповідним напрямом наукової, науково-технічної діяльності (далі - науковий напрям).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70" w:name="n71"/>
      <w:bookmarkEnd w:id="70"/>
      <w:r>
        <w:rPr>
          <w:lang w:val="uk" w:eastAsia="uk"/>
        </w:rPr>
        <w:t>2. Необхідна кількість експертних груп, кількісний і персональний склад кожної експертної групи відповідно до Положення про експертні групи та експертну комісію з питань проведення державної атестації наукових установ та закладів вищої освіти в частині провадження такими закладами наукової (науково-технічної) діяльності, затвердженого наказом Міністерства освіти і науки України від 21 жовтня 2024 року № 1485 (далі - Положення), визначається експертною комісією з проведення державної атестації наукових установ (далі - експертна комісія) та за поданням експертної комісії затверджується наказом МОН.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71" w:name="n72"/>
      <w:bookmarkEnd w:id="71"/>
      <w:r>
        <w:rPr>
          <w:lang w:val="uk" w:eastAsia="uk"/>
        </w:rPr>
        <w:t>3. Експертна група діє відповідно до Положення.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72" w:name="n73"/>
      <w:bookmarkEnd w:id="72"/>
      <w:r>
        <w:rPr>
          <w:lang w:val="uk" w:eastAsia="uk"/>
        </w:rPr>
        <w:t xml:space="preserve">4. Якщо НУ / ЗВО надано більшу кількість впливів, ніж це передбачено у </w:t>
      </w:r>
      <w:hyperlink w:anchor="n41" w:history="1">
        <w:r>
          <w:rPr>
            <w:rStyle w:val="arvts99"/>
            <w:b w:val="0"/>
            <w:bCs w:val="0"/>
            <w:i w:val="0"/>
            <w:iCs w:val="0"/>
            <w:lang w:val="uk" w:eastAsia="uk"/>
          </w:rPr>
          <w:t>пункті 2</w:t>
        </w:r>
      </w:hyperlink>
      <w:r>
        <w:rPr>
          <w:lang w:val="uk" w:eastAsia="uk"/>
        </w:rPr>
        <w:t xml:space="preserve"> розділу II цієї Методики, то описи впливів з більшими порядковими номерами не оцінюються і не враховуються експертами.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73" w:name="n74"/>
      <w:bookmarkEnd w:id="73"/>
      <w:r>
        <w:rPr>
          <w:lang w:val="uk" w:eastAsia="uk"/>
        </w:rPr>
        <w:t>5. Експерт на підставі вивчення опису впливів, поданих відповідно до пункту 1 розділу II цієї Методики, формує експертну оцінку НУ / ЗВО за науковим напрямом.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74" w:name="n75"/>
      <w:bookmarkEnd w:id="74"/>
      <w:r>
        <w:rPr>
          <w:lang w:val="uk" w:eastAsia="uk"/>
        </w:rPr>
        <w:t xml:space="preserve">6. Показники експертного оцінювання експерт вносить до Картки експертного оцінювання наукової установи/закладу вищої освіти (далі - Картка) згідно з </w:t>
      </w:r>
      <w:hyperlink w:anchor="n110" w:history="1">
        <w:r>
          <w:rPr>
            <w:rStyle w:val="arvts99"/>
            <w:b w:val="0"/>
            <w:bCs w:val="0"/>
            <w:i w:val="0"/>
            <w:iCs w:val="0"/>
            <w:lang w:val="uk" w:eastAsia="uk"/>
          </w:rPr>
          <w:t>додатком 6</w:t>
        </w:r>
      </w:hyperlink>
      <w:r>
        <w:rPr>
          <w:lang w:val="uk" w:eastAsia="uk"/>
        </w:rPr>
        <w:t xml:space="preserve"> до цієї Методики.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75" w:name="n76"/>
      <w:bookmarkEnd w:id="75"/>
      <w:r>
        <w:rPr>
          <w:lang w:val="uk" w:eastAsia="uk"/>
        </w:rPr>
        <w:t xml:space="preserve">7. Експертна група за науковим напрямом розглядає Картки та готує експертний висновок щодо результатів експертного оцінювання ефективності діяльності НУ / ЗВО, згідно з </w:t>
      </w:r>
      <w:hyperlink w:anchor="n112" w:history="1">
        <w:r>
          <w:rPr>
            <w:rStyle w:val="arvts99"/>
            <w:b w:val="0"/>
            <w:bCs w:val="0"/>
            <w:i w:val="0"/>
            <w:iCs w:val="0"/>
            <w:lang w:val="uk" w:eastAsia="uk"/>
          </w:rPr>
          <w:t>додатком 7</w:t>
        </w:r>
      </w:hyperlink>
      <w:r>
        <w:rPr>
          <w:lang w:val="uk" w:eastAsia="uk"/>
        </w:rPr>
        <w:t xml:space="preserve"> до цієї Методики, який подається експертній комісії, утвореній відповідно до Положення, для його використання під час визначення атестаційної оцінки НУ / ЗВО.</w:t>
      </w:r>
    </w:p>
    <w:p>
      <w:pPr>
        <w:pStyle w:val="rvps7"/>
        <w:spacing w:before="150" w:after="150"/>
        <w:ind w:left="450" w:right="450"/>
        <w:rPr>
          <w:lang w:val="uk" w:eastAsia="uk"/>
        </w:rPr>
      </w:pPr>
      <w:bookmarkStart w:id="76" w:name="n77"/>
      <w:bookmarkEnd w:id="76"/>
      <w:r>
        <w:rPr>
          <w:rStyle w:val="spanrvts15"/>
          <w:b/>
          <w:bCs/>
          <w:i w:val="0"/>
          <w:iCs w:val="0"/>
          <w:lang w:val="uk" w:eastAsia="uk"/>
        </w:rPr>
        <w:t>V. Визначення результатів державної атестації та групи наукової установи/закладу вищої освіти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77" w:name="n78"/>
      <w:bookmarkEnd w:id="77"/>
      <w:r>
        <w:rPr>
          <w:lang w:val="uk" w:eastAsia="uk"/>
        </w:rPr>
        <w:t>1. Результатом державної атестації є визначена атестаційна оцінка як характеристика ефективності діяльності НУ / ЗВО за попередні п’ять років.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78" w:name="n79"/>
      <w:bookmarkEnd w:id="78"/>
      <w:r>
        <w:rPr>
          <w:lang w:val="uk" w:eastAsia="uk"/>
        </w:rPr>
        <w:t>2. Атестаційна оцінка НУ / ЗВО визначається у місячний строк Експертною комісією з урахуванням попередньої атестаційної оцінки НУ / ЗВО.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79" w:name="n80"/>
      <w:bookmarkEnd w:id="79"/>
      <w:r>
        <w:rPr>
          <w:lang w:val="uk" w:eastAsia="uk"/>
        </w:rPr>
        <w:t>3. Попередня атестаційна оцінка НУ / ЗВО складається з класифікаційної оцінки та експертної оцінки, з урахуванням коефіцієнту регіональної підтримки (РП</w:t>
      </w:r>
      <w:r>
        <w:rPr>
          <w:rStyle w:val="spanrvts40"/>
          <w:b/>
          <w:bCs/>
          <w:i w:val="0"/>
          <w:iCs w:val="0"/>
          <w:lang w:val="uk" w:eastAsia="uk"/>
        </w:rPr>
        <w:t>і</w:t>
      </w:r>
      <w:r>
        <w:rPr>
          <w:lang w:val="uk" w:eastAsia="uk"/>
        </w:rPr>
        <w:t>), коефіцієнту руйнувань інфраструктури внаслідок агресії Російської Федерації проти України (К</w:t>
      </w:r>
      <w:r>
        <w:rPr>
          <w:rStyle w:val="spanrvts40"/>
          <w:b/>
          <w:bCs/>
          <w:i w:val="0"/>
          <w:iCs w:val="0"/>
          <w:lang w:val="uk" w:eastAsia="uk"/>
        </w:rPr>
        <w:t>РІ</w:t>
      </w:r>
      <w:r>
        <w:rPr>
          <w:lang w:val="uk" w:eastAsia="uk"/>
        </w:rPr>
        <w:t>) та розраховується за такою формулою:</w:t>
      </w:r>
    </w:p>
    <w:p>
      <w:pPr>
        <w:pStyle w:val="rvps12"/>
        <w:spacing w:before="150" w:after="150"/>
        <w:ind w:left="0" w:right="0"/>
        <w:rPr>
          <w:lang w:val="uk" w:eastAsia="uk"/>
        </w:rPr>
      </w:pPr>
      <w:bookmarkStart w:id="80" w:name="n81"/>
      <w:bookmarkEnd w:id="80"/>
      <w:r>
        <w:rPr>
          <w:lang w:val="uk" w:eastAsia="uk"/>
        </w:rPr>
        <w:t xml:space="preserve">А = (К + Е) </w:t>
      </w:r>
      <w:r>
        <w:rPr>
          <w:rStyle w:val="spanrvts80"/>
          <w:b/>
          <w:bCs/>
          <w:i w:val="0"/>
          <w:iCs w:val="0"/>
          <w:lang w:val="uk" w:eastAsia="uk"/>
        </w:rPr>
        <w:t>×</w:t>
      </w:r>
      <w:r>
        <w:rPr>
          <w:lang w:val="uk" w:eastAsia="uk"/>
        </w:rPr>
        <w:t xml:space="preserve"> РП</w:t>
      </w:r>
      <w:r>
        <w:rPr>
          <w:rStyle w:val="spanrvts40"/>
          <w:b/>
          <w:bCs/>
          <w:i w:val="0"/>
          <w:iCs w:val="0"/>
          <w:lang w:val="uk" w:eastAsia="uk"/>
        </w:rPr>
        <w:t>і</w:t>
      </w:r>
      <w:r>
        <w:rPr>
          <w:lang w:val="uk" w:eastAsia="uk"/>
        </w:rPr>
        <w:t xml:space="preserve"> </w:t>
      </w:r>
      <w:r>
        <w:rPr>
          <w:rStyle w:val="spanrvts80"/>
          <w:b/>
          <w:bCs/>
          <w:i w:val="0"/>
          <w:iCs w:val="0"/>
          <w:lang w:val="uk" w:eastAsia="uk"/>
        </w:rPr>
        <w:t>×</w:t>
      </w:r>
      <w:r>
        <w:rPr>
          <w:lang w:val="uk" w:eastAsia="uk"/>
        </w:rPr>
        <w:t xml:space="preserve"> К</w:t>
      </w:r>
      <w:r>
        <w:rPr>
          <w:rStyle w:val="spanrvts40"/>
          <w:b/>
          <w:bCs/>
          <w:i w:val="0"/>
          <w:iCs w:val="0"/>
          <w:lang w:val="uk" w:eastAsia="uk"/>
        </w:rPr>
        <w:t>РІ</w:t>
      </w:r>
      <w:r>
        <w:rPr>
          <w:lang w:val="uk" w:eastAsia="uk"/>
        </w:rPr>
        <w:t>,</w:t>
      </w:r>
    </w:p>
    <w:tbl>
      <w:tblPr>
        <w:tblStyle w:val="articletable"/>
        <w:tblW w:w="5000" w:type="pct"/>
        <w:jc w:val="center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99"/>
        <w:gridCol w:w="826"/>
        <w:gridCol w:w="478"/>
        <w:gridCol w:w="7457"/>
      </w:tblGrid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tcW w:w="595" w:type="dxa"/>
            <w:vMerge w:val="restart"/>
            <w:tcBorders>
              <w:bottom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1"/>
              <w:spacing w:before="150" w:after="150"/>
              <w:ind w:left="0" w:right="0"/>
              <w:rPr>
                <w:lang w:val="uk" w:eastAsia="uk"/>
              </w:rPr>
            </w:pPr>
            <w:bookmarkStart w:id="81" w:name="n82"/>
            <w:bookmarkEnd w:id="81"/>
            <w:r>
              <w:rPr>
                <w:lang w:val="uk" w:eastAsia="uk"/>
              </w:rPr>
              <w:t>де</w:t>
            </w:r>
          </w:p>
        </w:tc>
        <w:tc>
          <w:tcPr>
            <w:tcW w:w="82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2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>А</w:t>
            </w:r>
          </w:p>
        </w:tc>
        <w:tc>
          <w:tcPr>
            <w:tcW w:w="475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2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>-</w:t>
            </w:r>
          </w:p>
        </w:tc>
        <w:tc>
          <w:tcPr>
            <w:tcW w:w="7405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>попередня атестаційна оцінка;</w:t>
            </w:r>
          </w:p>
        </w:tc>
      </w:tr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vMerge/>
            <w:vAlign w:val="center"/>
            <w:hideMark/>
          </w:tcPr>
          <w:p>
            <w:pPr>
              <w:rPr>
                <w:lang w:val="uk" w:eastAsia="uk"/>
              </w:rPr>
            </w:pPr>
          </w:p>
        </w:tc>
        <w:tc>
          <w:tcPr>
            <w:tcW w:w="82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2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>К</w:t>
            </w:r>
          </w:p>
        </w:tc>
        <w:tc>
          <w:tcPr>
            <w:tcW w:w="475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2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>-</w:t>
            </w:r>
          </w:p>
        </w:tc>
        <w:tc>
          <w:tcPr>
            <w:tcW w:w="7405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>класифікаційна оцінка;</w:t>
            </w:r>
          </w:p>
        </w:tc>
      </w:tr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vMerge/>
            <w:vAlign w:val="center"/>
            <w:hideMark/>
          </w:tcPr>
          <w:p>
            <w:pPr>
              <w:rPr>
                <w:lang w:val="uk" w:eastAsia="uk"/>
              </w:rPr>
            </w:pPr>
          </w:p>
        </w:tc>
        <w:tc>
          <w:tcPr>
            <w:tcW w:w="82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2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>Е</w:t>
            </w:r>
          </w:p>
        </w:tc>
        <w:tc>
          <w:tcPr>
            <w:tcW w:w="475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2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>-</w:t>
            </w:r>
          </w:p>
        </w:tc>
        <w:tc>
          <w:tcPr>
            <w:tcW w:w="7405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>експертна оцінка, зазначена в експертному висновку;</w:t>
            </w:r>
          </w:p>
        </w:tc>
      </w:tr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vMerge/>
            <w:vAlign w:val="center"/>
            <w:hideMark/>
          </w:tcPr>
          <w:p>
            <w:pPr>
              <w:rPr>
                <w:lang w:val="uk" w:eastAsia="uk"/>
              </w:rPr>
            </w:pPr>
          </w:p>
        </w:tc>
        <w:tc>
          <w:tcPr>
            <w:tcW w:w="82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2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>РП</w:t>
            </w:r>
            <w:r>
              <w:rPr>
                <w:rStyle w:val="spanrvts40"/>
                <w:b/>
                <w:bCs/>
                <w:i w:val="0"/>
                <w:iCs w:val="0"/>
                <w:lang w:val="uk" w:eastAsia="uk"/>
              </w:rPr>
              <w:t>і</w:t>
            </w:r>
          </w:p>
        </w:tc>
        <w:tc>
          <w:tcPr>
            <w:tcW w:w="475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2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>-</w:t>
            </w:r>
          </w:p>
        </w:tc>
        <w:tc>
          <w:tcPr>
            <w:tcW w:w="7405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>коефіцієнт регіональної підтримки, який становить:</w:t>
            </w:r>
          </w:p>
        </w:tc>
      </w:tr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vMerge/>
            <w:vAlign w:val="center"/>
            <w:hideMark/>
          </w:tcPr>
          <w:p>
            <w:pPr>
              <w:rPr>
                <w:lang w:val="uk" w:eastAsia="uk"/>
              </w:rPr>
            </w:pPr>
          </w:p>
        </w:tc>
        <w:tc>
          <w:tcPr>
            <w:tcW w:w="82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2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>1,05</w:t>
            </w:r>
          </w:p>
        </w:tc>
        <w:tc>
          <w:tcPr>
            <w:tcW w:w="475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2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>-</w:t>
            </w:r>
          </w:p>
        </w:tc>
        <w:tc>
          <w:tcPr>
            <w:tcW w:w="7405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>для НУ / ЗВО, розташованих у Дніпропетровській, Одеській, Чернігівській областях;</w:t>
            </w:r>
          </w:p>
        </w:tc>
      </w:tr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vMerge/>
            <w:vAlign w:val="center"/>
            <w:hideMark/>
          </w:tcPr>
          <w:p>
            <w:pPr>
              <w:rPr>
                <w:lang w:val="uk" w:eastAsia="uk"/>
              </w:rPr>
            </w:pPr>
          </w:p>
        </w:tc>
        <w:tc>
          <w:tcPr>
            <w:tcW w:w="82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2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>1,1</w:t>
            </w:r>
          </w:p>
        </w:tc>
        <w:tc>
          <w:tcPr>
            <w:tcW w:w="475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2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>-</w:t>
            </w:r>
          </w:p>
        </w:tc>
        <w:tc>
          <w:tcPr>
            <w:tcW w:w="7405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>для НУ / ЗВО, розташованих у Донецькій, Запорізькій, Луганській, Миколаївській, Сумській, Харківській, Херсонській областях.</w:t>
            </w:r>
          </w:p>
        </w:tc>
      </w:tr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vMerge/>
            <w:vAlign w:val="center"/>
            <w:hideMark/>
          </w:tcPr>
          <w:p>
            <w:pPr>
              <w:rPr>
                <w:lang w:val="uk" w:eastAsia="uk"/>
              </w:rPr>
            </w:pPr>
          </w:p>
        </w:tc>
        <w:tc>
          <w:tcPr>
            <w:tcW w:w="82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2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>1,0</w:t>
            </w:r>
          </w:p>
        </w:tc>
        <w:tc>
          <w:tcPr>
            <w:tcW w:w="475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2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>-</w:t>
            </w:r>
          </w:p>
        </w:tc>
        <w:tc>
          <w:tcPr>
            <w:tcW w:w="7405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>для НУ / ЗВО, розташованих в інших областях;</w:t>
            </w:r>
          </w:p>
        </w:tc>
      </w:tr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vMerge/>
            <w:vAlign w:val="center"/>
            <w:hideMark/>
          </w:tcPr>
          <w:p>
            <w:pPr>
              <w:rPr>
                <w:lang w:val="uk" w:eastAsia="uk"/>
              </w:rPr>
            </w:pPr>
          </w:p>
        </w:tc>
        <w:tc>
          <w:tcPr>
            <w:tcW w:w="82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2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>1,15</w:t>
            </w:r>
          </w:p>
        </w:tc>
        <w:tc>
          <w:tcPr>
            <w:tcW w:w="475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2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>-</w:t>
            </w:r>
          </w:p>
        </w:tc>
        <w:tc>
          <w:tcPr>
            <w:tcW w:w="7405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>для тимчасово переміщених НУ / ЗВО, що утримують матеріально-технічну базу за своєю юридичною адресою.</w:t>
            </w:r>
          </w:p>
        </w:tc>
      </w:tr>
    </w:tbl>
    <w:p>
      <w:pPr>
        <w:pStyle w:val="rvps2"/>
        <w:spacing w:before="0" w:after="150"/>
        <w:ind w:left="0" w:right="0"/>
        <w:rPr>
          <w:lang w:val="uk" w:eastAsia="uk"/>
        </w:rPr>
      </w:pPr>
      <w:bookmarkStart w:id="82" w:name="n83"/>
      <w:bookmarkEnd w:id="82"/>
      <w:r>
        <w:rPr>
          <w:lang w:val="uk" w:eastAsia="uk"/>
        </w:rPr>
        <w:t>К</w:t>
      </w:r>
      <w:r>
        <w:rPr>
          <w:rStyle w:val="spanrvts40"/>
          <w:b/>
          <w:bCs/>
          <w:i w:val="0"/>
          <w:iCs w:val="0"/>
          <w:lang w:val="uk" w:eastAsia="uk"/>
        </w:rPr>
        <w:t>РІ</w:t>
      </w:r>
      <w:r>
        <w:rPr>
          <w:lang w:val="uk" w:eastAsia="uk"/>
        </w:rPr>
        <w:t xml:space="preserve"> - коефіцієнт руйнувань інфраструктури, який визначається співвідношенням:</w:t>
      </w:r>
    </w:p>
    <w:p>
      <w:pPr>
        <w:pStyle w:val="rvps12"/>
        <w:spacing w:before="150" w:after="150"/>
        <w:ind w:left="0" w:right="0"/>
        <w:rPr>
          <w:lang w:val="uk" w:eastAsia="uk"/>
        </w:rPr>
      </w:pPr>
      <w:bookmarkStart w:id="83" w:name="n84"/>
      <w:bookmarkEnd w:id="83"/>
      <w:r>
        <w:rPr>
          <w:lang w:val="uk" w:eastAsia="uk"/>
        </w:rPr>
        <w:t>К</w:t>
      </w:r>
      <w:r>
        <w:rPr>
          <w:rStyle w:val="spanrvts40"/>
          <w:b/>
          <w:bCs/>
          <w:i w:val="0"/>
          <w:iCs w:val="0"/>
          <w:lang w:val="uk" w:eastAsia="uk"/>
        </w:rPr>
        <w:t>РІ</w:t>
      </w:r>
      <w:r>
        <w:rPr>
          <w:lang w:val="uk" w:eastAsia="uk"/>
        </w:rPr>
        <w:t xml:space="preserve"> = 1 + S</w:t>
      </w:r>
      <w:r>
        <w:rPr>
          <w:rStyle w:val="spanrvts40"/>
          <w:b/>
          <w:bCs/>
          <w:i w:val="0"/>
          <w:iCs w:val="0"/>
          <w:lang w:val="uk" w:eastAsia="uk"/>
        </w:rPr>
        <w:t>Р</w:t>
      </w:r>
      <w:r>
        <w:rPr>
          <w:lang w:val="uk" w:eastAsia="uk"/>
        </w:rPr>
        <w:t>/S</w:t>
      </w:r>
      <w:r>
        <w:rPr>
          <w:rStyle w:val="spanrvts40"/>
          <w:b/>
          <w:bCs/>
          <w:i w:val="0"/>
          <w:iCs w:val="0"/>
          <w:lang w:val="uk" w:eastAsia="uk"/>
        </w:rPr>
        <w:t>ЗАГ</w:t>
      </w:r>
      <w:r>
        <w:rPr>
          <w:lang w:val="uk" w:eastAsia="uk"/>
        </w:rPr>
        <w:t xml:space="preserve">, </w:t>
      </w:r>
    </w:p>
    <w:tbl>
      <w:tblPr>
        <w:tblStyle w:val="articletable"/>
        <w:tblW w:w="5000" w:type="pct"/>
        <w:jc w:val="center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634"/>
        <w:gridCol w:w="916"/>
        <w:gridCol w:w="438"/>
        <w:gridCol w:w="7372"/>
      </w:tblGrid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tcW w:w="640" w:type="dxa"/>
            <w:vMerge w:val="restart"/>
            <w:tcBorders>
              <w:bottom w:val="none" w:sz="0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1"/>
              <w:spacing w:before="150" w:after="150"/>
              <w:ind w:left="0" w:right="0"/>
              <w:rPr>
                <w:lang w:val="uk" w:eastAsia="uk"/>
              </w:rPr>
            </w:pPr>
            <w:bookmarkStart w:id="84" w:name="n85"/>
            <w:bookmarkEnd w:id="84"/>
            <w:r>
              <w:rPr>
                <w:lang w:val="uk" w:eastAsia="uk"/>
              </w:rPr>
              <w:t>де</w:t>
            </w:r>
          </w:p>
        </w:tc>
        <w:tc>
          <w:tcPr>
            <w:tcW w:w="925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2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>S</w:t>
            </w:r>
            <w:r>
              <w:rPr>
                <w:rStyle w:val="spanrvts40"/>
                <w:b/>
                <w:bCs/>
                <w:i w:val="0"/>
                <w:iCs w:val="0"/>
                <w:lang w:val="uk" w:eastAsia="uk"/>
              </w:rPr>
              <w:t>Р</w:t>
            </w:r>
          </w:p>
        </w:tc>
        <w:tc>
          <w:tcPr>
            <w:tcW w:w="445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2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>-</w:t>
            </w:r>
          </w:p>
        </w:tc>
        <w:tc>
          <w:tcPr>
            <w:tcW w:w="745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>площа зруйнованої інфраструктури за даними Реєстру пошкодженого та знищеного майна (rpm.renovation.gov.ua);</w:t>
            </w:r>
          </w:p>
        </w:tc>
      </w:tr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vMerge/>
            <w:vAlign w:val="center"/>
            <w:hideMark/>
          </w:tcPr>
          <w:p>
            <w:pPr>
              <w:rPr>
                <w:lang w:val="uk" w:eastAsia="uk"/>
              </w:rPr>
            </w:pPr>
          </w:p>
        </w:tc>
        <w:tc>
          <w:tcPr>
            <w:tcW w:w="925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2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>S</w:t>
            </w:r>
            <w:r>
              <w:rPr>
                <w:rStyle w:val="spanrvts40"/>
                <w:b/>
                <w:bCs/>
                <w:i w:val="0"/>
                <w:iCs w:val="0"/>
                <w:lang w:val="uk" w:eastAsia="uk"/>
              </w:rPr>
              <w:t>заг</w:t>
            </w:r>
          </w:p>
        </w:tc>
        <w:tc>
          <w:tcPr>
            <w:tcW w:w="445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2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>-</w:t>
            </w:r>
          </w:p>
        </w:tc>
        <w:tc>
          <w:tcPr>
            <w:tcW w:w="745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>загальна площа будівель і споруд НУ / ЗВО, які знаходяться на обліку і балансі.</w:t>
            </w:r>
          </w:p>
        </w:tc>
      </w:tr>
    </w:tbl>
    <w:p>
      <w:pPr>
        <w:pStyle w:val="rvps2"/>
        <w:spacing w:before="0" w:after="150"/>
        <w:ind w:left="0" w:right="0"/>
        <w:rPr>
          <w:lang w:val="uk" w:eastAsia="uk"/>
        </w:rPr>
      </w:pPr>
      <w:bookmarkStart w:id="85" w:name="n86"/>
      <w:bookmarkEnd w:id="85"/>
      <w:r>
        <w:rPr>
          <w:lang w:val="uk" w:eastAsia="uk"/>
        </w:rPr>
        <w:t>У разі коли розраховане значення К</w:t>
      </w:r>
      <w:r>
        <w:rPr>
          <w:rStyle w:val="spanrvts40"/>
          <w:b/>
          <w:bCs/>
          <w:i w:val="0"/>
          <w:iCs w:val="0"/>
          <w:lang w:val="uk" w:eastAsia="uk"/>
        </w:rPr>
        <w:t>РІ</w:t>
      </w:r>
      <w:r>
        <w:rPr>
          <w:lang w:val="uk" w:eastAsia="uk"/>
        </w:rPr>
        <w:t xml:space="preserve"> перевищує 1,1, НУ / ЗВО надає документальне підтвердження розрахунку.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86" w:name="n87"/>
      <w:bookmarkEnd w:id="86"/>
      <w:r>
        <w:rPr>
          <w:lang w:val="uk" w:eastAsia="uk"/>
        </w:rPr>
        <w:t>У разі коли розраховане значення К</w:t>
      </w:r>
      <w:r>
        <w:rPr>
          <w:rStyle w:val="spanrvts40"/>
          <w:b/>
          <w:bCs/>
          <w:i w:val="0"/>
          <w:iCs w:val="0"/>
          <w:lang w:val="uk" w:eastAsia="uk"/>
        </w:rPr>
        <w:t>РІ</w:t>
      </w:r>
      <w:r>
        <w:rPr>
          <w:lang w:val="uk" w:eastAsia="uk"/>
        </w:rPr>
        <w:t xml:space="preserve"> перевищує 1,3, значення К</w:t>
      </w:r>
      <w:r>
        <w:rPr>
          <w:rStyle w:val="spanrvts40"/>
          <w:b/>
          <w:bCs/>
          <w:i w:val="0"/>
          <w:iCs w:val="0"/>
          <w:lang w:val="uk" w:eastAsia="uk"/>
        </w:rPr>
        <w:t>РІ</w:t>
      </w:r>
      <w:r>
        <w:rPr>
          <w:lang w:val="uk" w:eastAsia="uk"/>
        </w:rPr>
        <w:t xml:space="preserve"> приймається рівним 1,3.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87" w:name="n88"/>
      <w:bookmarkEnd w:id="87"/>
      <w:r>
        <w:rPr>
          <w:lang w:val="uk" w:eastAsia="uk"/>
        </w:rPr>
        <w:t>4. Після визначення попередньої атестаційної оцінки отримані результати всіх НУ / ЗВО відображаються у відсотках до максимальної кількості набраних балів за відповідним науковим напрямом.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88" w:name="n89"/>
      <w:bookmarkEnd w:id="88"/>
      <w:r>
        <w:rPr>
          <w:lang w:val="uk" w:eastAsia="uk"/>
        </w:rPr>
        <w:t xml:space="preserve">5. Експертна комісія відповідно до </w:t>
      </w:r>
      <w:hyperlink r:id="rId5" w:anchor="n80" w:tgtFrame="_blank" w:history="1">
        <w:r>
          <w:rPr>
            <w:rStyle w:val="arvts96"/>
            <w:b w:val="0"/>
            <w:bCs w:val="0"/>
            <w:i w:val="0"/>
            <w:iCs w:val="0"/>
            <w:lang w:val="uk" w:eastAsia="uk"/>
          </w:rPr>
          <w:t>пункту 18</w:t>
        </w:r>
      </w:hyperlink>
      <w:r>
        <w:rPr>
          <w:lang w:val="uk" w:eastAsia="uk"/>
        </w:rPr>
        <w:t xml:space="preserve"> Порядку здійснює обрахунок атестаційної оцінки, готує висновок про результат державної атестації наукової установи / закладу вищої освіти згідно з </w:t>
      </w:r>
      <w:hyperlink w:anchor="n114" w:history="1">
        <w:r>
          <w:rPr>
            <w:rStyle w:val="arvts99"/>
            <w:b w:val="0"/>
            <w:bCs w:val="0"/>
            <w:i w:val="0"/>
            <w:iCs w:val="0"/>
            <w:lang w:val="uk" w:eastAsia="uk"/>
          </w:rPr>
          <w:t>додатком 8</w:t>
        </w:r>
      </w:hyperlink>
      <w:r>
        <w:rPr>
          <w:lang w:val="uk" w:eastAsia="uk"/>
        </w:rPr>
        <w:t xml:space="preserve"> до цієї Методики та відносить НУ / ЗВО до однієї з чотирьох груп А, Б, В та Г, з урахуванням таких їхніх меж: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89" w:name="n90"/>
      <w:bookmarkEnd w:id="89"/>
      <w:r>
        <w:rPr>
          <w:lang w:val="uk" w:eastAsia="uk"/>
        </w:rPr>
        <w:t>група А - більше 75 % (включно);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90" w:name="n91"/>
      <w:bookmarkEnd w:id="90"/>
      <w:r>
        <w:rPr>
          <w:lang w:val="uk" w:eastAsia="uk"/>
        </w:rPr>
        <w:t>група Б - від 50 % (включно) до 75 %;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91" w:name="n92"/>
      <w:bookmarkEnd w:id="91"/>
      <w:r>
        <w:rPr>
          <w:lang w:val="uk" w:eastAsia="uk"/>
        </w:rPr>
        <w:t>група В - від 25 % (включно) до 50 %;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92" w:name="n93"/>
      <w:bookmarkEnd w:id="92"/>
      <w:r>
        <w:rPr>
          <w:lang w:val="uk" w:eastAsia="uk"/>
        </w:rPr>
        <w:t>група Г - менше 25 %.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93" w:name="n94"/>
      <w:bookmarkEnd w:id="93"/>
      <w:r>
        <w:rPr>
          <w:lang w:val="uk" w:eastAsia="uk"/>
        </w:rPr>
        <w:t>Група визначається одночасно для всіх НУ / ЗВО за відповідним науковим напрямом.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94" w:name="n95"/>
      <w:bookmarkEnd w:id="94"/>
      <w:r>
        <w:rPr>
          <w:lang w:val="uk" w:eastAsia="uk"/>
        </w:rPr>
        <w:t>6. НУ, віднесені до групи Г, вважаються такими, що не пройшли державну атестацію.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95" w:name="n96"/>
      <w:bookmarkEnd w:id="95"/>
      <w:r>
        <w:rPr>
          <w:lang w:val="uk" w:eastAsia="uk"/>
        </w:rPr>
        <w:t>ЗВО, які за відповідним науковим напрямом віднесені до групи Г, вважаються такими, що не пройшли за таким напрямом державну атестацію.</w:t>
      </w:r>
    </w:p>
    <w:p>
      <w:pPr>
        <w:pStyle w:val="rvps2"/>
        <w:spacing w:before="0" w:after="150"/>
        <w:ind w:left="0" w:right="0"/>
        <w:rPr>
          <w:lang w:val="uk" w:eastAsia="uk"/>
        </w:rPr>
      </w:pPr>
      <w:bookmarkStart w:id="96" w:name="n97"/>
      <w:bookmarkEnd w:id="96"/>
      <w:r>
        <w:rPr>
          <w:lang w:val="uk" w:eastAsia="uk"/>
        </w:rPr>
        <w:t xml:space="preserve">7. НУ / ЗВО, що пройшли державну атестацію, МОН видає свідоцтво про державну атестацію наукової установи / закладу вищої освіти за формою, наведеною у </w:t>
      </w:r>
      <w:hyperlink w:anchor="n116" w:history="1">
        <w:r>
          <w:rPr>
            <w:rStyle w:val="arvts99"/>
            <w:b w:val="0"/>
            <w:bCs w:val="0"/>
            <w:i w:val="0"/>
            <w:iCs w:val="0"/>
            <w:lang w:val="uk" w:eastAsia="uk"/>
          </w:rPr>
          <w:t>додатку 9</w:t>
        </w:r>
      </w:hyperlink>
      <w:r>
        <w:rPr>
          <w:lang w:val="uk" w:eastAsia="uk"/>
        </w:rPr>
        <w:t xml:space="preserve"> до цієї Методики.</w:t>
      </w:r>
    </w:p>
    <w:tbl>
      <w:tblPr>
        <w:tblStyle w:val="articletable"/>
        <w:tblW w:w="5000" w:type="pct"/>
        <w:jc w:val="center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3555"/>
        <w:gridCol w:w="5805"/>
      </w:tblGrid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tcW w:w="210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4"/>
              <w:spacing w:before="300" w:after="150"/>
              <w:ind w:left="0" w:right="0"/>
              <w:rPr>
                <w:lang w:val="uk" w:eastAsia="uk"/>
              </w:rPr>
            </w:pPr>
            <w:bookmarkStart w:id="97" w:name="n98"/>
            <w:bookmarkEnd w:id="97"/>
            <w:r>
              <w:rPr>
                <w:rStyle w:val="spanrvts44"/>
                <w:b/>
                <w:bCs/>
                <w:i w:val="0"/>
                <w:iCs w:val="0"/>
                <w:lang w:val="uk" w:eastAsia="uk"/>
              </w:rPr>
              <w:t>Генеральний директор</w:t>
            </w:r>
            <w:r>
              <w:rPr>
                <w:lang w:val="uk" w:eastAsia="uk"/>
              </w:rPr>
              <w:t xml:space="preserve"> </w:t>
            </w:r>
            <w:r>
              <w:rPr>
                <w:lang w:val="uk" w:eastAsia="uk"/>
              </w:rPr>
              <w:br/>
            </w:r>
            <w:r>
              <w:rPr>
                <w:rStyle w:val="spanrvts44"/>
                <w:b/>
                <w:bCs/>
                <w:i w:val="0"/>
                <w:iCs w:val="0"/>
                <w:lang w:val="uk" w:eastAsia="uk"/>
              </w:rPr>
              <w:t>директорату розвитку науки</w:t>
            </w:r>
          </w:p>
        </w:tc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5"/>
              <w:spacing w:before="300" w:after="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br/>
            </w:r>
            <w:r>
              <w:rPr>
                <w:rStyle w:val="spanrvts44"/>
                <w:b/>
                <w:bCs/>
                <w:i w:val="0"/>
                <w:iCs w:val="0"/>
                <w:lang w:val="uk" w:eastAsia="uk"/>
              </w:rPr>
              <w:t>Григорій МОЗОЛЕВИЧ</w:t>
            </w:r>
          </w:p>
        </w:tc>
      </w:tr>
    </w:tbl>
    <w:p>
      <w:pPr>
        <w:pStyle w:val="break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150"/>
        <w:ind w:left="0" w:right="0" w:firstLine="0"/>
        <w:jc w:val="both"/>
        <w:rPr>
          <w:lang w:val="uk" w:eastAsia="uk"/>
        </w:rPr>
      </w:pPr>
      <w:r>
        <w:pict>
          <v:rect id="_x0000_i1026" style="width:0;height:0.75pt" o:hrpct="0" o:hrstd="t" o:hr="t" filled="t" fillcolor="gray" stroked="f">
            <v:path strokeok="f"/>
          </v:rect>
        </w:pict>
      </w:r>
      <w:bookmarkStart w:id="98" w:name="n118"/>
      <w:bookmarkEnd w:id="98"/>
    </w:p>
    <w:tbl>
      <w:tblPr>
        <w:tblStyle w:val="articletable"/>
        <w:tblW w:w="5000" w:type="pct"/>
        <w:jc w:val="center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4955"/>
        <w:gridCol w:w="4405"/>
      </w:tblGrid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tcW w:w="225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bookmarkStart w:id="99" w:name="n99"/>
            <w:bookmarkEnd w:id="99"/>
          </w:p>
        </w:tc>
        <w:tc>
          <w:tcPr>
            <w:tcW w:w="200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 xml:space="preserve">Додаток 1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до Методики оцінювання ефективності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наукової (науково-технічної) діяльності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наукових установ та закладів вищої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освіти в частині провадження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такими закладами наукової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(науково-технічної) діяльності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за окремими науковими напрямами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під час проведення державної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атестації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>(</w:t>
            </w:r>
            <w:hyperlink w:anchor="n30" w:history="1">
              <w:r>
                <w:rPr>
                  <w:rStyle w:val="arvts99"/>
                  <w:b w:val="0"/>
                  <w:bCs w:val="0"/>
                  <w:i w:val="0"/>
                  <w:iCs w:val="0"/>
                  <w:lang w:val="uk" w:eastAsia="uk"/>
                </w:rPr>
                <w:t>пункт 1</w:t>
              </w:r>
            </w:hyperlink>
            <w:r>
              <w:rPr>
                <w:lang w:val="uk" w:eastAsia="uk"/>
              </w:rPr>
              <w:t xml:space="preserve"> розділу II)</w:t>
            </w:r>
          </w:p>
        </w:tc>
      </w:tr>
    </w:tbl>
    <w:p>
      <w:pPr>
        <w:pStyle w:val="rvps7"/>
        <w:spacing w:before="150" w:after="150"/>
        <w:ind w:left="450" w:right="450"/>
        <w:rPr>
          <w:lang w:val="uk" w:eastAsia="uk"/>
        </w:rPr>
      </w:pPr>
      <w:bookmarkStart w:id="100" w:name="n100"/>
      <w:bookmarkEnd w:id="100"/>
      <w:hyperlink r:id="rId13" w:history="1">
        <w:r>
          <w:rPr>
            <w:rStyle w:val="arvts103"/>
            <w:b/>
            <w:bCs/>
            <w:i w:val="0"/>
            <w:iCs w:val="0"/>
            <w:lang w:val="uk" w:eastAsia="uk"/>
          </w:rPr>
          <w:t>ЗАЯВКА</w:t>
        </w:r>
      </w:hyperlink>
      <w:r>
        <w:rPr>
          <w:rStyle w:val="spanrvts15"/>
          <w:b/>
          <w:bCs/>
          <w:i w:val="0"/>
          <w:iCs w:val="0"/>
          <w:lang w:val="uk" w:eastAsia="uk"/>
        </w:rPr>
        <w:t xml:space="preserve"> </w:t>
      </w:r>
      <w:r>
        <w:rPr>
          <w:rStyle w:val="spanrvts15"/>
          <w:b/>
          <w:bCs/>
          <w:i w:val="0"/>
          <w:iCs w:val="0"/>
          <w:lang w:val="uk" w:eastAsia="uk"/>
        </w:rPr>
        <w:br/>
      </w:r>
      <w:r>
        <w:rPr>
          <w:rStyle w:val="spanrvts15"/>
          <w:b/>
          <w:bCs/>
          <w:i w:val="0"/>
          <w:iCs w:val="0"/>
          <w:lang w:val="uk" w:eastAsia="uk"/>
        </w:rPr>
        <w:t>на проведення державної атестації</w:t>
      </w:r>
    </w:p>
    <w:tbl>
      <w:tblPr>
        <w:tblStyle w:val="articletable"/>
        <w:tblW w:w="5000" w:type="pct"/>
        <w:jc w:val="center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4955"/>
        <w:gridCol w:w="4405"/>
      </w:tblGrid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tcW w:w="225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bookmarkStart w:id="101" w:name="n101"/>
            <w:bookmarkEnd w:id="101"/>
          </w:p>
        </w:tc>
        <w:tc>
          <w:tcPr>
            <w:tcW w:w="200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 xml:space="preserve">Додаток 2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до Методики оцінювання ефективності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наукової (науково-технічної) діяльності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наукових установ та закладів вищої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освіти в частині провадження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такими закладами наукової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(науково-технічної) діяльності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за окремими науковими напрямами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під час проведення державної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атестації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>(</w:t>
            </w:r>
            <w:hyperlink w:anchor="n30" w:history="1">
              <w:r>
                <w:rPr>
                  <w:rStyle w:val="arvts99"/>
                  <w:b w:val="0"/>
                  <w:bCs w:val="0"/>
                  <w:i w:val="0"/>
                  <w:iCs w:val="0"/>
                  <w:lang w:val="uk" w:eastAsia="uk"/>
                </w:rPr>
                <w:t>пункт 1</w:t>
              </w:r>
            </w:hyperlink>
            <w:r>
              <w:rPr>
                <w:lang w:val="uk" w:eastAsia="uk"/>
              </w:rPr>
              <w:t xml:space="preserve"> розділу II)</w:t>
            </w:r>
          </w:p>
        </w:tc>
      </w:tr>
    </w:tbl>
    <w:p>
      <w:pPr>
        <w:pStyle w:val="rvps7"/>
        <w:spacing w:before="150" w:after="150"/>
        <w:ind w:left="450" w:right="450"/>
        <w:rPr>
          <w:lang w:val="uk" w:eastAsia="uk"/>
        </w:rPr>
      </w:pPr>
      <w:bookmarkStart w:id="102" w:name="n102"/>
      <w:bookmarkEnd w:id="102"/>
      <w:hyperlink r:id="rId14" w:history="1">
        <w:r>
          <w:rPr>
            <w:rStyle w:val="arvts103"/>
            <w:b/>
            <w:bCs/>
            <w:i w:val="0"/>
            <w:iCs w:val="0"/>
            <w:lang w:val="uk" w:eastAsia="uk"/>
          </w:rPr>
          <w:t>ПЕРЕЛІК</w:t>
        </w:r>
      </w:hyperlink>
      <w:r>
        <w:rPr>
          <w:rStyle w:val="spanrvts15"/>
          <w:b/>
          <w:bCs/>
          <w:i w:val="0"/>
          <w:iCs w:val="0"/>
          <w:lang w:val="uk" w:eastAsia="uk"/>
        </w:rPr>
        <w:t xml:space="preserve"> </w:t>
      </w:r>
      <w:r>
        <w:rPr>
          <w:rStyle w:val="spanrvts15"/>
          <w:b/>
          <w:bCs/>
          <w:i w:val="0"/>
          <w:iCs w:val="0"/>
          <w:lang w:val="uk" w:eastAsia="uk"/>
        </w:rPr>
        <w:br/>
      </w:r>
      <w:r>
        <w:rPr>
          <w:rStyle w:val="spanrvts15"/>
          <w:b/>
          <w:bCs/>
          <w:i w:val="0"/>
          <w:iCs w:val="0"/>
          <w:lang w:val="uk" w:eastAsia="uk"/>
        </w:rPr>
        <w:t>показників, за якими здійснюється оцінка результативності наукової (науково-технічної) діяльності наукової установи/закладу вищої освіти за науковим напрямом та потенціалу розвитку цього наукового напряму</w:t>
      </w:r>
    </w:p>
    <w:tbl>
      <w:tblPr>
        <w:tblStyle w:val="articletable"/>
        <w:tblW w:w="5000" w:type="pct"/>
        <w:jc w:val="center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4955"/>
        <w:gridCol w:w="4405"/>
      </w:tblGrid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tcW w:w="225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bookmarkStart w:id="103" w:name="n103"/>
            <w:bookmarkEnd w:id="103"/>
          </w:p>
        </w:tc>
        <w:tc>
          <w:tcPr>
            <w:tcW w:w="200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 xml:space="preserve">Додаток 3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до Методики оцінювання ефективності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наукової (науково-технічної) діяльності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наукових установ та закладів вищої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освіти в частині провадження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такими закладами наукової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(науково-технічної) діяльності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за окремими науковими напрямами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під час проведення державної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атестації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>(</w:t>
            </w:r>
            <w:hyperlink w:anchor="n30" w:history="1">
              <w:r>
                <w:rPr>
                  <w:rStyle w:val="arvts99"/>
                  <w:b w:val="0"/>
                  <w:bCs w:val="0"/>
                  <w:i w:val="0"/>
                  <w:iCs w:val="0"/>
                  <w:lang w:val="uk" w:eastAsia="uk"/>
                </w:rPr>
                <w:t>пункт 1</w:t>
              </w:r>
            </w:hyperlink>
            <w:r>
              <w:rPr>
                <w:lang w:val="uk" w:eastAsia="uk"/>
              </w:rPr>
              <w:t xml:space="preserve"> розділу II)</w:t>
            </w:r>
          </w:p>
        </w:tc>
      </w:tr>
    </w:tbl>
    <w:p>
      <w:pPr>
        <w:pStyle w:val="rvps7"/>
        <w:spacing w:before="150" w:after="150"/>
        <w:ind w:left="450" w:right="450"/>
        <w:rPr>
          <w:lang w:val="uk" w:eastAsia="uk"/>
        </w:rPr>
      </w:pPr>
      <w:bookmarkStart w:id="104" w:name="n104"/>
      <w:bookmarkEnd w:id="104"/>
      <w:hyperlink r:id="rId15" w:history="1">
        <w:r>
          <w:rPr>
            <w:rStyle w:val="arvts103"/>
            <w:b/>
            <w:bCs/>
            <w:i w:val="0"/>
            <w:iCs w:val="0"/>
            <w:lang w:val="uk" w:eastAsia="uk"/>
          </w:rPr>
          <w:t>ВІДОМОСТІ</w:t>
        </w:r>
      </w:hyperlink>
      <w:r>
        <w:rPr>
          <w:rStyle w:val="spanrvts15"/>
          <w:b/>
          <w:bCs/>
          <w:i w:val="0"/>
          <w:iCs w:val="0"/>
          <w:lang w:val="uk" w:eastAsia="uk"/>
        </w:rPr>
        <w:t xml:space="preserve"> </w:t>
      </w:r>
      <w:r>
        <w:rPr>
          <w:rStyle w:val="spanrvts15"/>
          <w:b/>
          <w:bCs/>
          <w:i w:val="0"/>
          <w:iCs w:val="0"/>
          <w:lang w:val="uk" w:eastAsia="uk"/>
        </w:rPr>
        <w:br/>
      </w:r>
      <w:r>
        <w:rPr>
          <w:rStyle w:val="spanrvts15"/>
          <w:b/>
          <w:bCs/>
          <w:i w:val="0"/>
          <w:iCs w:val="0"/>
          <w:lang w:val="uk" w:eastAsia="uk"/>
        </w:rPr>
        <w:t>про наукову та науково-технічну діяльність наукової установи / закладу вищої освіти за науковим напрямом</w:t>
      </w:r>
    </w:p>
    <w:tbl>
      <w:tblPr>
        <w:tblStyle w:val="articletable"/>
        <w:tblW w:w="5000" w:type="pct"/>
        <w:jc w:val="center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4955"/>
        <w:gridCol w:w="4405"/>
      </w:tblGrid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tcW w:w="225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bookmarkStart w:id="105" w:name="n105"/>
            <w:bookmarkEnd w:id="105"/>
          </w:p>
        </w:tc>
        <w:tc>
          <w:tcPr>
            <w:tcW w:w="200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 xml:space="preserve">Додаток 4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до Методики оцінювання ефективності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наукової (науково-технічної) діяльності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наукових установ та закладів вищої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освіти в частині провадження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такими закладами наукової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(науково-технічної) діяльності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за окремими науковими напрямами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під час проведення державної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атестації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>(</w:t>
            </w:r>
            <w:hyperlink w:anchor="n30" w:history="1">
              <w:r>
                <w:rPr>
                  <w:rStyle w:val="arvts99"/>
                  <w:b w:val="0"/>
                  <w:bCs w:val="0"/>
                  <w:i w:val="0"/>
                  <w:iCs w:val="0"/>
                  <w:lang w:val="uk" w:eastAsia="uk"/>
                </w:rPr>
                <w:t>пункт 1</w:t>
              </w:r>
            </w:hyperlink>
            <w:r>
              <w:rPr>
                <w:lang w:val="uk" w:eastAsia="uk"/>
              </w:rPr>
              <w:t xml:space="preserve"> розділу II)</w:t>
            </w:r>
          </w:p>
        </w:tc>
      </w:tr>
    </w:tbl>
    <w:p>
      <w:pPr>
        <w:pStyle w:val="rvps7"/>
        <w:spacing w:before="150" w:after="150"/>
        <w:ind w:left="450" w:right="450"/>
        <w:rPr>
          <w:lang w:val="uk" w:eastAsia="uk"/>
        </w:rPr>
      </w:pPr>
      <w:bookmarkStart w:id="106" w:name="n106"/>
      <w:bookmarkEnd w:id="106"/>
      <w:hyperlink r:id="rId16" w:history="1">
        <w:r>
          <w:rPr>
            <w:rStyle w:val="arvts103"/>
            <w:b/>
            <w:bCs/>
            <w:i w:val="0"/>
            <w:iCs w:val="0"/>
            <w:lang w:val="uk" w:eastAsia="uk"/>
          </w:rPr>
          <w:t>ОПИС</w:t>
        </w:r>
      </w:hyperlink>
      <w:r>
        <w:rPr>
          <w:rStyle w:val="spanrvts15"/>
          <w:b/>
          <w:bCs/>
          <w:i w:val="0"/>
          <w:iCs w:val="0"/>
          <w:lang w:val="uk" w:eastAsia="uk"/>
        </w:rPr>
        <w:t xml:space="preserve"> </w:t>
      </w:r>
      <w:r>
        <w:rPr>
          <w:rStyle w:val="spanrvts15"/>
          <w:b/>
          <w:bCs/>
          <w:i w:val="0"/>
          <w:iCs w:val="0"/>
          <w:lang w:val="uk" w:eastAsia="uk"/>
        </w:rPr>
        <w:br/>
      </w:r>
      <w:r>
        <w:rPr>
          <w:rStyle w:val="spanrvts15"/>
          <w:b/>
          <w:bCs/>
          <w:i w:val="0"/>
          <w:iCs w:val="0"/>
          <w:lang w:val="uk" w:eastAsia="uk"/>
        </w:rPr>
        <w:t>впливу результатів діяльності наукової установи / закладу вищої освіти на розвиток науки, суспільства та економіки</w:t>
      </w:r>
    </w:p>
    <w:tbl>
      <w:tblPr>
        <w:tblStyle w:val="articletable"/>
        <w:tblW w:w="5000" w:type="pct"/>
        <w:jc w:val="center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4955"/>
        <w:gridCol w:w="4405"/>
      </w:tblGrid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tcW w:w="225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bookmarkStart w:id="107" w:name="n107"/>
            <w:bookmarkEnd w:id="107"/>
          </w:p>
        </w:tc>
        <w:tc>
          <w:tcPr>
            <w:tcW w:w="200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 xml:space="preserve">Додаток 5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до Методики оцінювання ефективності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наукової (науково-технічної) діяльності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наукових установ та закладів вищої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освіти в частині провадження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такими закладами наукової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(науково-технічної) діяльності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за окремими науковими напрямами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під час проведення державної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атестації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>(</w:t>
            </w:r>
            <w:hyperlink w:anchor="n55" w:history="1">
              <w:r>
                <w:rPr>
                  <w:rStyle w:val="arvts99"/>
                  <w:b w:val="0"/>
                  <w:bCs w:val="0"/>
                  <w:i w:val="0"/>
                  <w:iCs w:val="0"/>
                  <w:lang w:val="uk" w:eastAsia="uk"/>
                </w:rPr>
                <w:t>пункт 1</w:t>
              </w:r>
            </w:hyperlink>
            <w:r>
              <w:rPr>
                <w:lang w:val="uk" w:eastAsia="uk"/>
              </w:rPr>
              <w:t xml:space="preserve"> розділу III)</w:t>
            </w:r>
          </w:p>
        </w:tc>
      </w:tr>
    </w:tbl>
    <w:p>
      <w:pPr>
        <w:pStyle w:val="rvps7"/>
        <w:spacing w:before="150" w:after="150"/>
        <w:ind w:left="450" w:right="450"/>
        <w:rPr>
          <w:lang w:val="uk" w:eastAsia="uk"/>
        </w:rPr>
      </w:pPr>
      <w:bookmarkStart w:id="108" w:name="n108"/>
      <w:bookmarkEnd w:id="108"/>
      <w:hyperlink r:id="rId17" w:history="1">
        <w:r>
          <w:rPr>
            <w:rStyle w:val="arvts103"/>
            <w:b/>
            <w:bCs/>
            <w:i w:val="0"/>
            <w:iCs w:val="0"/>
            <w:lang w:val="uk" w:eastAsia="uk"/>
          </w:rPr>
          <w:t>ПИТОМІ ПОКАЗНИКИ</w:t>
        </w:r>
      </w:hyperlink>
      <w:r>
        <w:rPr>
          <w:rStyle w:val="spanrvts15"/>
          <w:b/>
          <w:bCs/>
          <w:i w:val="0"/>
          <w:iCs w:val="0"/>
          <w:lang w:val="uk" w:eastAsia="uk"/>
        </w:rPr>
        <w:t xml:space="preserve"> </w:t>
      </w:r>
      <w:r>
        <w:rPr>
          <w:rStyle w:val="spanrvts15"/>
          <w:b/>
          <w:bCs/>
          <w:i w:val="0"/>
          <w:iCs w:val="0"/>
          <w:lang w:val="uk" w:eastAsia="uk"/>
        </w:rPr>
        <w:br/>
      </w:r>
      <w:r>
        <w:rPr>
          <w:rStyle w:val="spanrvts15"/>
          <w:b/>
          <w:bCs/>
          <w:i w:val="0"/>
          <w:iCs w:val="0"/>
          <w:lang w:val="uk" w:eastAsia="uk"/>
        </w:rPr>
        <w:t>результативності (індикатори), за якими здійснюється розрахунок класифікаційної оцінки за науковим напрямом</w:t>
      </w:r>
    </w:p>
    <w:tbl>
      <w:tblPr>
        <w:tblStyle w:val="articletable"/>
        <w:tblW w:w="5000" w:type="pct"/>
        <w:jc w:val="center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4955"/>
        <w:gridCol w:w="4405"/>
      </w:tblGrid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tcW w:w="225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bookmarkStart w:id="109" w:name="n109"/>
            <w:bookmarkEnd w:id="109"/>
          </w:p>
        </w:tc>
        <w:tc>
          <w:tcPr>
            <w:tcW w:w="200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 xml:space="preserve">Додаток 6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до Методики оцінювання ефективності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наукової (науково-технічної) діяльності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наукових установ та закладів вищої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освіти в частині провадження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такими закладами наукової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(науково-технічної) діяльності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за окремими науковими напрямами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під час проведення державної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атестації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>(</w:t>
            </w:r>
            <w:hyperlink w:anchor="n75" w:history="1">
              <w:r>
                <w:rPr>
                  <w:rStyle w:val="arvts99"/>
                  <w:b w:val="0"/>
                  <w:bCs w:val="0"/>
                  <w:i w:val="0"/>
                  <w:iCs w:val="0"/>
                  <w:lang w:val="uk" w:eastAsia="uk"/>
                </w:rPr>
                <w:t>пункт 6</w:t>
              </w:r>
            </w:hyperlink>
            <w:r>
              <w:rPr>
                <w:lang w:val="uk" w:eastAsia="uk"/>
              </w:rPr>
              <w:t xml:space="preserve"> розділу IV)</w:t>
            </w:r>
          </w:p>
        </w:tc>
      </w:tr>
    </w:tbl>
    <w:p>
      <w:pPr>
        <w:pStyle w:val="rvps7"/>
        <w:spacing w:before="150" w:after="150"/>
        <w:ind w:left="450" w:right="450"/>
        <w:rPr>
          <w:lang w:val="uk" w:eastAsia="uk"/>
        </w:rPr>
      </w:pPr>
      <w:bookmarkStart w:id="110" w:name="n110"/>
      <w:bookmarkEnd w:id="110"/>
      <w:hyperlink r:id="rId18" w:history="1">
        <w:r>
          <w:rPr>
            <w:rStyle w:val="arvts103"/>
            <w:b/>
            <w:bCs/>
            <w:i w:val="0"/>
            <w:iCs w:val="0"/>
            <w:lang w:val="uk" w:eastAsia="uk"/>
          </w:rPr>
          <w:t>КАРТКА</w:t>
        </w:r>
      </w:hyperlink>
      <w:r>
        <w:rPr>
          <w:rStyle w:val="spanrvts15"/>
          <w:b/>
          <w:bCs/>
          <w:i w:val="0"/>
          <w:iCs w:val="0"/>
          <w:lang w:val="uk" w:eastAsia="uk"/>
        </w:rPr>
        <w:t xml:space="preserve"> </w:t>
      </w:r>
      <w:r>
        <w:rPr>
          <w:rStyle w:val="spanrvts15"/>
          <w:b/>
          <w:bCs/>
          <w:i w:val="0"/>
          <w:iCs w:val="0"/>
          <w:lang w:val="uk" w:eastAsia="uk"/>
        </w:rPr>
        <w:br/>
      </w:r>
      <w:r>
        <w:rPr>
          <w:rStyle w:val="spanrvts15"/>
          <w:b/>
          <w:bCs/>
          <w:i w:val="0"/>
          <w:iCs w:val="0"/>
          <w:lang w:val="uk" w:eastAsia="uk"/>
        </w:rPr>
        <w:t>експертного оцінювання наукової установи / закладу вищої освіти</w:t>
      </w:r>
    </w:p>
    <w:tbl>
      <w:tblPr>
        <w:tblStyle w:val="articletable"/>
        <w:tblW w:w="5000" w:type="pct"/>
        <w:jc w:val="center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4955"/>
        <w:gridCol w:w="4405"/>
      </w:tblGrid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tcW w:w="225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bookmarkStart w:id="111" w:name="n111"/>
            <w:bookmarkEnd w:id="111"/>
          </w:p>
        </w:tc>
        <w:tc>
          <w:tcPr>
            <w:tcW w:w="200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 xml:space="preserve">Додаток 7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до Методики оцінювання ефективності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наукової (науково-технічної) діяльності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наукових установ та закладів вищої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освіти в частині провадження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такими закладами наукової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(науково-технічної) діяльності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за окремими науковими напрямами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під час проведення державної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атестації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>(</w:t>
            </w:r>
            <w:hyperlink w:anchor="n76" w:history="1">
              <w:r>
                <w:rPr>
                  <w:rStyle w:val="arvts99"/>
                  <w:b w:val="0"/>
                  <w:bCs w:val="0"/>
                  <w:i w:val="0"/>
                  <w:iCs w:val="0"/>
                  <w:lang w:val="uk" w:eastAsia="uk"/>
                </w:rPr>
                <w:t>пункт 7</w:t>
              </w:r>
            </w:hyperlink>
            <w:r>
              <w:rPr>
                <w:lang w:val="uk" w:eastAsia="uk"/>
              </w:rPr>
              <w:t xml:space="preserve"> розділу IV)</w:t>
            </w:r>
          </w:p>
        </w:tc>
      </w:tr>
    </w:tbl>
    <w:p>
      <w:pPr>
        <w:pStyle w:val="rvps7"/>
        <w:spacing w:before="150" w:after="150"/>
        <w:ind w:left="450" w:right="450"/>
        <w:rPr>
          <w:lang w:val="uk" w:eastAsia="uk"/>
        </w:rPr>
      </w:pPr>
      <w:bookmarkStart w:id="112" w:name="n112"/>
      <w:bookmarkEnd w:id="112"/>
      <w:hyperlink r:id="rId19" w:history="1">
        <w:r>
          <w:rPr>
            <w:rStyle w:val="arvts103"/>
            <w:b/>
            <w:bCs/>
            <w:i w:val="0"/>
            <w:iCs w:val="0"/>
            <w:lang w:val="uk" w:eastAsia="uk"/>
          </w:rPr>
          <w:t>ЕКСПЕРТНИЙ ВИСНОВОК</w:t>
        </w:r>
      </w:hyperlink>
      <w:r>
        <w:rPr>
          <w:rStyle w:val="spanrvts15"/>
          <w:b/>
          <w:bCs/>
          <w:i w:val="0"/>
          <w:iCs w:val="0"/>
          <w:lang w:val="uk" w:eastAsia="uk"/>
        </w:rPr>
        <w:t xml:space="preserve"> </w:t>
      </w:r>
      <w:r>
        <w:rPr>
          <w:rStyle w:val="spanrvts15"/>
          <w:b/>
          <w:bCs/>
          <w:i w:val="0"/>
          <w:iCs w:val="0"/>
          <w:lang w:val="uk" w:eastAsia="uk"/>
        </w:rPr>
        <w:br/>
      </w:r>
      <w:r>
        <w:rPr>
          <w:rStyle w:val="spanrvts15"/>
          <w:b/>
          <w:bCs/>
          <w:i w:val="0"/>
          <w:iCs w:val="0"/>
          <w:lang w:val="uk" w:eastAsia="uk"/>
        </w:rPr>
        <w:t>щодо результатів експертного оцінювання ефективності діяльності наукової установи / закладу вищої освіти</w:t>
      </w:r>
    </w:p>
    <w:tbl>
      <w:tblPr>
        <w:tblStyle w:val="articletable"/>
        <w:tblW w:w="5000" w:type="pct"/>
        <w:jc w:val="center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4955"/>
        <w:gridCol w:w="4405"/>
      </w:tblGrid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tcW w:w="225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bookmarkStart w:id="113" w:name="n113"/>
            <w:bookmarkEnd w:id="113"/>
          </w:p>
        </w:tc>
        <w:tc>
          <w:tcPr>
            <w:tcW w:w="200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 xml:space="preserve">Додаток 8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до Методики оцінювання ефективності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наукової (науково-технічної) діяльності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наукових установ та закладів вищої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освіти в частині провадження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такими закладами наукової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(науково-технічної) діяльності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за окремими науковими напрямами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під час проведення державної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атестації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>(</w:t>
            </w:r>
            <w:hyperlink w:anchor="n89" w:history="1">
              <w:r>
                <w:rPr>
                  <w:rStyle w:val="arvts99"/>
                  <w:b w:val="0"/>
                  <w:bCs w:val="0"/>
                  <w:i w:val="0"/>
                  <w:iCs w:val="0"/>
                  <w:lang w:val="uk" w:eastAsia="uk"/>
                </w:rPr>
                <w:t>пункт 5</w:t>
              </w:r>
            </w:hyperlink>
            <w:r>
              <w:rPr>
                <w:lang w:val="uk" w:eastAsia="uk"/>
              </w:rPr>
              <w:t xml:space="preserve"> розділу V)</w:t>
            </w:r>
          </w:p>
        </w:tc>
      </w:tr>
    </w:tbl>
    <w:p>
      <w:pPr>
        <w:pStyle w:val="rvps7"/>
        <w:spacing w:before="150" w:after="150"/>
        <w:ind w:left="450" w:right="450"/>
        <w:rPr>
          <w:lang w:val="uk" w:eastAsia="uk"/>
        </w:rPr>
      </w:pPr>
      <w:bookmarkStart w:id="114" w:name="n114"/>
      <w:bookmarkEnd w:id="114"/>
      <w:hyperlink r:id="rId20" w:history="1">
        <w:r>
          <w:rPr>
            <w:rStyle w:val="arvts103"/>
            <w:b/>
            <w:bCs/>
            <w:i w:val="0"/>
            <w:iCs w:val="0"/>
            <w:lang w:val="uk" w:eastAsia="uk"/>
          </w:rPr>
          <w:t>ВИСНОВОК</w:t>
        </w:r>
      </w:hyperlink>
      <w:r>
        <w:rPr>
          <w:rStyle w:val="spanrvts15"/>
          <w:b/>
          <w:bCs/>
          <w:i w:val="0"/>
          <w:iCs w:val="0"/>
          <w:lang w:val="uk" w:eastAsia="uk"/>
        </w:rPr>
        <w:t xml:space="preserve"> </w:t>
      </w:r>
      <w:r>
        <w:rPr>
          <w:rStyle w:val="spanrvts15"/>
          <w:b/>
          <w:bCs/>
          <w:i w:val="0"/>
          <w:iCs w:val="0"/>
          <w:lang w:val="uk" w:eastAsia="uk"/>
        </w:rPr>
        <w:br/>
      </w:r>
      <w:r>
        <w:rPr>
          <w:rStyle w:val="spanrvts15"/>
          <w:b/>
          <w:bCs/>
          <w:i w:val="0"/>
          <w:iCs w:val="0"/>
          <w:lang w:val="uk" w:eastAsia="uk"/>
        </w:rPr>
        <w:t>про результат державної атестації наукової установи / закладу вищої освіти</w:t>
      </w:r>
    </w:p>
    <w:tbl>
      <w:tblPr>
        <w:tblStyle w:val="articletable"/>
        <w:tblW w:w="5000" w:type="pct"/>
        <w:jc w:val="center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4955"/>
        <w:gridCol w:w="4405"/>
      </w:tblGrid>
      <w:tr>
        <w:tblPrEx>
          <w:tblW w:w="5000" w:type="pct"/>
          <w:jc w:val="center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jc w:val="center"/>
        </w:trPr>
        <w:tc>
          <w:tcPr>
            <w:tcW w:w="225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bookmarkStart w:id="115" w:name="n115"/>
            <w:bookmarkEnd w:id="115"/>
          </w:p>
        </w:tc>
        <w:tc>
          <w:tcPr>
            <w:tcW w:w="2000" w:type="pct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vps14"/>
              <w:spacing w:before="150" w:after="150"/>
              <w:ind w:left="0" w:right="0"/>
              <w:rPr>
                <w:lang w:val="uk" w:eastAsia="uk"/>
              </w:rPr>
            </w:pPr>
            <w:r>
              <w:rPr>
                <w:lang w:val="uk" w:eastAsia="uk"/>
              </w:rPr>
              <w:t xml:space="preserve">Додаток 9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до Методики оцінювання ефективності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наукової (науково-технічної) діяльності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наукових установ та закладів вищої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освіти в частині провадження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такими закладами наукової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(науково-технічної) діяльності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за окремими науковими напрямами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під час проведення державної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 xml:space="preserve">атестації </w:t>
            </w:r>
            <w:r>
              <w:rPr>
                <w:lang w:val="uk" w:eastAsia="uk"/>
              </w:rPr>
              <w:br/>
            </w:r>
            <w:r>
              <w:rPr>
                <w:lang w:val="uk" w:eastAsia="uk"/>
              </w:rPr>
              <w:t>(</w:t>
            </w:r>
            <w:hyperlink w:anchor="n89" w:history="1">
              <w:r>
                <w:rPr>
                  <w:rStyle w:val="arvts99"/>
                  <w:b w:val="0"/>
                  <w:bCs w:val="0"/>
                  <w:i w:val="0"/>
                  <w:iCs w:val="0"/>
                  <w:lang w:val="uk" w:eastAsia="uk"/>
                </w:rPr>
                <w:t>пункт 5</w:t>
              </w:r>
            </w:hyperlink>
            <w:r>
              <w:rPr>
                <w:lang w:val="uk" w:eastAsia="uk"/>
              </w:rPr>
              <w:t xml:space="preserve"> розділу V)</w:t>
            </w:r>
          </w:p>
        </w:tc>
      </w:tr>
    </w:tbl>
    <w:p>
      <w:pPr>
        <w:pStyle w:val="rvps7"/>
        <w:spacing w:before="150" w:after="150"/>
        <w:ind w:left="450" w:right="450"/>
        <w:rPr>
          <w:lang w:val="uk" w:eastAsia="uk"/>
        </w:rPr>
      </w:pPr>
      <w:bookmarkStart w:id="116" w:name="n116"/>
      <w:bookmarkEnd w:id="116"/>
      <w:hyperlink r:id="rId21" w:history="1">
        <w:r>
          <w:rPr>
            <w:rStyle w:val="arvts103"/>
            <w:b/>
            <w:bCs/>
            <w:i w:val="0"/>
            <w:iCs w:val="0"/>
            <w:lang w:val="uk" w:eastAsia="uk"/>
          </w:rPr>
          <w:t>СВІДОЦТВО</w:t>
        </w:r>
      </w:hyperlink>
      <w:r>
        <w:rPr>
          <w:rStyle w:val="spanrvts15"/>
          <w:b/>
          <w:bCs/>
          <w:i w:val="0"/>
          <w:iCs w:val="0"/>
          <w:lang w:val="uk" w:eastAsia="uk"/>
        </w:rPr>
        <w:t xml:space="preserve"> </w:t>
      </w:r>
      <w:r>
        <w:rPr>
          <w:rStyle w:val="spanrvts15"/>
          <w:b/>
          <w:bCs/>
          <w:i w:val="0"/>
          <w:iCs w:val="0"/>
          <w:lang w:val="uk" w:eastAsia="uk"/>
        </w:rPr>
        <w:br/>
      </w:r>
      <w:r>
        <w:rPr>
          <w:rStyle w:val="spanrvts15"/>
          <w:b/>
          <w:bCs/>
          <w:i w:val="0"/>
          <w:iCs w:val="0"/>
          <w:lang w:val="uk" w:eastAsia="uk"/>
        </w:rPr>
        <w:t>про державну атестацію наукової установи / закладу вищої освіти</w:t>
      </w:r>
    </w:p>
    <w:p>
      <w:pPr>
        <w:pStyle w:val="stamp"/>
        <w:rPr>
          <w:rFonts w:ascii="Times New Roman" w:eastAsia="Times New Roman" w:hAnsi="Times New Roman" w:cs="Times New Roman"/>
          <w:lang w:val="uk" w:eastAsia="uk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0"/>
        <w:gridCol w:w="5340"/>
        <w:gridCol w:w="2430"/>
      </w:tblGrid>
      <w:tr>
        <w:tblPrEx>
          <w:tblW w:w="5000" w:type="pct"/>
          <w:tblCellSpacing w:w="15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30" w:type="dxa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  <w:hideMark/>
          </w:tcPr>
          <w:p>
            <w:pPr>
              <w:jc w:val="center"/>
              <w:rPr>
                <w:rFonts w:ascii="Times New Roman" w:eastAsia="Times New Roman" w:hAnsi="Times New Roman" w:cs="Times New Roman"/>
                <w:lang w:val="uk" w:eastAsia="uk"/>
              </w:rPr>
            </w:pPr>
            <w:r>
              <w:rPr>
                <w:rFonts w:ascii="Times New Roman" w:eastAsia="Times New Roman" w:hAnsi="Times New Roman" w:cs="Times New Roman"/>
                <w:strike w:val="0"/>
                <w:u w:val="none"/>
                <w:lang w:val="uk" w:eastAsia="uk"/>
              </w:rPr>
              <w:drawing>
                <wp:inline>
                  <wp:extent cx="952500" cy="952500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pct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  <w:hideMark/>
          </w:tcPr>
          <w:p>
            <w:pPr>
              <w:rPr>
                <w:rFonts w:ascii="Times New Roman" w:eastAsia="Times New Roman" w:hAnsi="Times New Roman" w:cs="Times New Roman"/>
                <w:lang w:val="uk" w:eastAsia="uk"/>
              </w:rPr>
            </w:pPr>
            <w:r>
              <w:rPr>
                <w:rFonts w:ascii="Times New Roman" w:eastAsia="Times New Roman" w:hAnsi="Times New Roman" w:cs="Times New Roman"/>
                <w:lang w:val="uk" w:eastAsia="uk"/>
              </w:rPr>
              <w:t>Про державну атестацію наукових установ та закладів вищої освіти в частині провадження такими закладами наукової (науково-технічної) діяльності</w:t>
            </w:r>
            <w:r>
              <w:rPr>
                <w:rFonts w:ascii="Times New Roman" w:eastAsia="Times New Roman" w:hAnsi="Times New Roman" w:cs="Times New Roman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" w:eastAsia="uk"/>
              </w:rPr>
              <w:t>Наказ; МОН України від 21.10.2024 № 1485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" w:eastAsia="uk"/>
              </w:rPr>
              <w:t>Прийняття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" w:eastAsia="uk"/>
              </w:rPr>
              <w:t xml:space="preserve"> від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C628D"/>
                <w:sz w:val="20"/>
                <w:szCs w:val="20"/>
                <w:lang w:val="uk" w:eastAsia="uk"/>
              </w:rPr>
              <w:t>21.10.2024</w:t>
            </w:r>
            <w:r>
              <w:rPr>
                <w:rFonts w:ascii="Times New Roman" w:eastAsia="Times New Roman" w:hAnsi="Times New Roman" w:cs="Times New Roman"/>
                <w:b/>
                <w:bCs/>
                <w:color w:val="0C628D"/>
                <w:sz w:val="20"/>
                <w:szCs w:val="20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uk" w:eastAsia="uk"/>
              </w:rPr>
              <w:t>Постійна адреса: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u w:val="single"/>
                <w:lang w:val="uk" w:eastAsia="uk"/>
              </w:rPr>
              <w:t>https://zakon.rada.gov.ua/go/z1743-24</w:t>
            </w:r>
          </w:p>
        </w:tc>
        <w:tc>
          <w:tcPr>
            <w:tcW w:w="2430" w:type="dxa"/>
            <w:tcMar>
              <w:top w:w="15" w:type="dxa"/>
              <w:left w:w="15" w:type="dxa"/>
              <w:bottom w:w="15" w:type="dxa"/>
              <w:right w:w="15" w:type="dxa"/>
            </w:tcMar>
            <w:vAlign w:val="top"/>
            <w:hideMark/>
          </w:tcPr>
          <w:p>
            <w:pPr>
              <w:jc w:val="center"/>
              <w:rPr>
                <w:rFonts w:ascii="Times New Roman" w:eastAsia="Times New Roman" w:hAnsi="Times New Roman" w:cs="Times New Roman"/>
                <w:lang w:val="uk" w:eastAsia="u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" w:eastAsia="uk"/>
              </w:rPr>
              <w:t>Законодавство України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" w:eastAsia="uk"/>
              </w:rPr>
              <w:t>станом на 25.11.2025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color w:val="0000CC"/>
                <w:sz w:val="20"/>
                <w:szCs w:val="20"/>
                <w:lang w:val="uk" w:eastAsia="uk"/>
              </w:rPr>
              <w:t>чинний</w:t>
            </w:r>
            <w:r>
              <w:rPr>
                <w:rFonts w:ascii="Times New Roman" w:eastAsia="Times New Roman" w:hAnsi="Times New Roman" w:cs="Times New Roman"/>
                <w:color w:val="0000CC"/>
                <w:sz w:val="20"/>
                <w:szCs w:val="20"/>
                <w:lang w:val="uk" w:eastAsia="uk"/>
              </w:rPr>
              <w:br/>
            </w:r>
            <w:r>
              <w:rPr>
                <w:rFonts w:ascii="Times New Roman" w:eastAsia="Times New Roman" w:hAnsi="Times New Roman" w:cs="Times New Roman"/>
                <w:strike w:val="0"/>
                <w:u w:val="none"/>
                <w:lang w:val="uk" w:eastAsia="uk"/>
              </w:rPr>
              <w:drawing>
                <wp:inline>
                  <wp:extent cx="1524000" cy="355218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355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Times New Roman" w:eastAsia="Times New Roman" w:hAnsi="Times New Roman" w:cs="Times New Roman"/>
          <w:lang w:val="uk" w:eastAsia="uk"/>
        </w:rPr>
      </w:pPr>
      <w:r>
        <w:rPr>
          <w:rFonts w:ascii="Times New Roman" w:eastAsia="Times New Roman" w:hAnsi="Times New Roman" w:cs="Times New Roman"/>
          <w:lang w:val="uk" w:eastAsia="uk"/>
        </w:rPr>
        <w:br/>
      </w:r>
      <w:r>
        <w:pict>
          <v:rect id="_x0000_i1027" style="width:468pt;height:0" o:hrpct="1000" o:hralign="center" o:hrstd="t" o:hrnoshade="t" o:hr="t" filled="t" fillcolor="gray" stroked="f">
            <v:path strokeok="f"/>
          </v:rect>
        </w:pict>
      </w:r>
    </w:p>
    <w:p>
      <w:pPr>
        <w:pStyle w:val="Heading2"/>
        <w:keepNext w:val="0"/>
        <w:keepLines w:val="0"/>
        <w:spacing w:before="299" w:after="299"/>
        <w:rPr>
          <w:rFonts w:ascii="Times New Roman" w:eastAsia="Times New Roman" w:hAnsi="Times New Roman" w:cs="Times New Roman"/>
          <w:b/>
          <w:bCs/>
          <w:sz w:val="36"/>
          <w:szCs w:val="36"/>
          <w:lang w:val="uk" w:eastAsia="uk"/>
        </w:rPr>
      </w:pPr>
      <w:r>
        <w:rPr>
          <w:i w:val="0"/>
          <w:color w:val="auto"/>
          <w:lang w:val="uk" w:eastAsia="uk"/>
        </w:rPr>
        <w:t>Документи та файли</w:t>
      </w:r>
    </w:p>
    <w:p>
      <w:pPr>
        <w:numPr>
          <w:ilvl w:val="0"/>
          <w:numId w:val="1"/>
        </w:numPr>
        <w:spacing w:before="240"/>
        <w:ind w:left="720" w:hanging="210"/>
        <w:jc w:val="left"/>
        <w:rPr>
          <w:rFonts w:ascii="Times New Roman" w:eastAsia="Times New Roman" w:hAnsi="Times New Roman" w:cs="Times New Roman"/>
          <w:lang w:val="uk" w:eastAsia="uk"/>
        </w:rPr>
      </w:pPr>
      <w:r>
        <w:rPr>
          <w:rFonts w:ascii="Times New Roman" w:eastAsia="Times New Roman" w:hAnsi="Times New Roman" w:cs="Times New Roman"/>
          <w:lang w:val="uk" w:eastAsia="uk"/>
        </w:rPr>
        <w:t xml:space="preserve">Сигнальний документ — </w:t>
      </w:r>
      <w:hyperlink r:id="rId13" w:history="1">
        <w:r>
          <w:rPr>
            <w:rFonts w:ascii="Times New Roman" w:eastAsia="Times New Roman" w:hAnsi="Times New Roman" w:cs="Times New Roman"/>
            <w:b/>
            <w:bCs/>
            <w:color w:val="0000EE"/>
            <w:u w:val="single" w:color="0000EE"/>
            <w:lang w:val="uk" w:eastAsia="uk"/>
          </w:rPr>
          <w:t>f541316n131.docx</w:t>
        </w:r>
      </w:hyperlink>
      <w:r>
        <w:rPr>
          <w:rFonts w:ascii="Times New Roman" w:eastAsia="Times New Roman" w:hAnsi="Times New Roman" w:cs="Times New Roman"/>
          <w:lang w:val="uk" w:eastAsia="uk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uk" w:eastAsia="uk"/>
        </w:rPr>
        <w:t>від 27.12.24 15:40, 22 кб</w:t>
      </w:r>
    </w:p>
    <w:p>
      <w:pPr>
        <w:numPr>
          <w:ilvl w:val="0"/>
          <w:numId w:val="1"/>
        </w:numPr>
        <w:ind w:left="720" w:hanging="210"/>
        <w:jc w:val="left"/>
        <w:rPr>
          <w:rFonts w:ascii="Times New Roman" w:eastAsia="Times New Roman" w:hAnsi="Times New Roman" w:cs="Times New Roman"/>
          <w:lang w:val="uk" w:eastAsia="uk"/>
        </w:rPr>
      </w:pPr>
      <w:r>
        <w:rPr>
          <w:rFonts w:ascii="Times New Roman" w:eastAsia="Times New Roman" w:hAnsi="Times New Roman" w:cs="Times New Roman"/>
          <w:lang w:val="uk" w:eastAsia="uk"/>
        </w:rPr>
        <w:t xml:space="preserve">Сигнальний документ — </w:t>
      </w:r>
      <w:hyperlink r:id="rId14" w:history="1">
        <w:r>
          <w:rPr>
            <w:rFonts w:ascii="Times New Roman" w:eastAsia="Times New Roman" w:hAnsi="Times New Roman" w:cs="Times New Roman"/>
            <w:b/>
            <w:bCs/>
            <w:color w:val="0000EE"/>
            <w:u w:val="single" w:color="0000EE"/>
            <w:lang w:val="uk" w:eastAsia="uk"/>
          </w:rPr>
          <w:t>f541316n120.docx</w:t>
        </w:r>
      </w:hyperlink>
      <w:r>
        <w:rPr>
          <w:rFonts w:ascii="Times New Roman" w:eastAsia="Times New Roman" w:hAnsi="Times New Roman" w:cs="Times New Roman"/>
          <w:lang w:val="uk" w:eastAsia="uk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uk" w:eastAsia="uk"/>
        </w:rPr>
        <w:t>від 27.12.24 15:40, 41 кб</w:t>
      </w:r>
    </w:p>
    <w:p>
      <w:pPr>
        <w:numPr>
          <w:ilvl w:val="0"/>
          <w:numId w:val="1"/>
        </w:numPr>
        <w:ind w:left="720" w:hanging="210"/>
        <w:jc w:val="left"/>
        <w:rPr>
          <w:rFonts w:ascii="Times New Roman" w:eastAsia="Times New Roman" w:hAnsi="Times New Roman" w:cs="Times New Roman"/>
          <w:lang w:val="uk" w:eastAsia="uk"/>
        </w:rPr>
      </w:pPr>
      <w:r>
        <w:rPr>
          <w:rFonts w:ascii="Times New Roman" w:eastAsia="Times New Roman" w:hAnsi="Times New Roman" w:cs="Times New Roman"/>
          <w:lang w:val="uk" w:eastAsia="uk"/>
        </w:rPr>
        <w:t xml:space="preserve">Сигнальний документ — </w:t>
      </w:r>
      <w:hyperlink r:id="rId15" w:history="1">
        <w:r>
          <w:rPr>
            <w:rFonts w:ascii="Times New Roman" w:eastAsia="Times New Roman" w:hAnsi="Times New Roman" w:cs="Times New Roman"/>
            <w:b/>
            <w:bCs/>
            <w:color w:val="0000EE"/>
            <w:u w:val="single" w:color="0000EE"/>
            <w:lang w:val="uk" w:eastAsia="uk"/>
          </w:rPr>
          <w:t>f541316n132.docx</w:t>
        </w:r>
      </w:hyperlink>
      <w:r>
        <w:rPr>
          <w:rFonts w:ascii="Times New Roman" w:eastAsia="Times New Roman" w:hAnsi="Times New Roman" w:cs="Times New Roman"/>
          <w:lang w:val="uk" w:eastAsia="uk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uk" w:eastAsia="uk"/>
        </w:rPr>
        <w:t>від 27.12.24 15:40, 45 кб</w:t>
      </w:r>
    </w:p>
    <w:p>
      <w:pPr>
        <w:numPr>
          <w:ilvl w:val="0"/>
          <w:numId w:val="1"/>
        </w:numPr>
        <w:ind w:left="720" w:hanging="210"/>
        <w:jc w:val="left"/>
        <w:rPr>
          <w:rFonts w:ascii="Times New Roman" w:eastAsia="Times New Roman" w:hAnsi="Times New Roman" w:cs="Times New Roman"/>
          <w:lang w:val="uk" w:eastAsia="uk"/>
        </w:rPr>
      </w:pPr>
      <w:r>
        <w:rPr>
          <w:rFonts w:ascii="Times New Roman" w:eastAsia="Times New Roman" w:hAnsi="Times New Roman" w:cs="Times New Roman"/>
          <w:lang w:val="uk" w:eastAsia="uk"/>
        </w:rPr>
        <w:t xml:space="preserve">Сигнальний документ — </w:t>
      </w:r>
      <w:hyperlink r:id="rId16" w:history="1">
        <w:r>
          <w:rPr>
            <w:rFonts w:ascii="Times New Roman" w:eastAsia="Times New Roman" w:hAnsi="Times New Roman" w:cs="Times New Roman"/>
            <w:b/>
            <w:bCs/>
            <w:color w:val="0000EE"/>
            <w:u w:val="single" w:color="0000EE"/>
            <w:lang w:val="uk" w:eastAsia="uk"/>
          </w:rPr>
          <w:t>f541316n133.docx</w:t>
        </w:r>
      </w:hyperlink>
      <w:r>
        <w:rPr>
          <w:rFonts w:ascii="Times New Roman" w:eastAsia="Times New Roman" w:hAnsi="Times New Roman" w:cs="Times New Roman"/>
          <w:lang w:val="uk" w:eastAsia="uk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uk" w:eastAsia="uk"/>
        </w:rPr>
        <w:t>від 27.12.24 15:40, 18 кб</w:t>
      </w:r>
    </w:p>
    <w:p>
      <w:pPr>
        <w:numPr>
          <w:ilvl w:val="0"/>
          <w:numId w:val="1"/>
        </w:numPr>
        <w:ind w:left="720" w:hanging="210"/>
        <w:jc w:val="left"/>
        <w:rPr>
          <w:rFonts w:ascii="Times New Roman" w:eastAsia="Times New Roman" w:hAnsi="Times New Roman" w:cs="Times New Roman"/>
          <w:lang w:val="uk" w:eastAsia="uk"/>
        </w:rPr>
      </w:pPr>
      <w:r>
        <w:rPr>
          <w:rFonts w:ascii="Times New Roman" w:eastAsia="Times New Roman" w:hAnsi="Times New Roman" w:cs="Times New Roman"/>
          <w:lang w:val="uk" w:eastAsia="uk"/>
        </w:rPr>
        <w:t xml:space="preserve">Сигнальний документ — </w:t>
      </w:r>
      <w:hyperlink r:id="rId17" w:history="1">
        <w:r>
          <w:rPr>
            <w:rFonts w:ascii="Times New Roman" w:eastAsia="Times New Roman" w:hAnsi="Times New Roman" w:cs="Times New Roman"/>
            <w:b/>
            <w:bCs/>
            <w:color w:val="0000EE"/>
            <w:u w:val="single" w:color="0000EE"/>
            <w:lang w:val="uk" w:eastAsia="uk"/>
          </w:rPr>
          <w:t>f541316n129.docx</w:t>
        </w:r>
      </w:hyperlink>
      <w:r>
        <w:rPr>
          <w:rFonts w:ascii="Times New Roman" w:eastAsia="Times New Roman" w:hAnsi="Times New Roman" w:cs="Times New Roman"/>
          <w:lang w:val="uk" w:eastAsia="uk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uk" w:eastAsia="uk"/>
        </w:rPr>
        <w:t>від 27.12.24 15:40, 140 кб</w:t>
      </w:r>
    </w:p>
    <w:p>
      <w:pPr>
        <w:numPr>
          <w:ilvl w:val="0"/>
          <w:numId w:val="1"/>
        </w:numPr>
        <w:ind w:left="720" w:hanging="210"/>
        <w:jc w:val="left"/>
        <w:rPr>
          <w:rFonts w:ascii="Times New Roman" w:eastAsia="Times New Roman" w:hAnsi="Times New Roman" w:cs="Times New Roman"/>
          <w:lang w:val="uk" w:eastAsia="uk"/>
        </w:rPr>
      </w:pPr>
      <w:r>
        <w:rPr>
          <w:rFonts w:ascii="Times New Roman" w:eastAsia="Times New Roman" w:hAnsi="Times New Roman" w:cs="Times New Roman"/>
          <w:lang w:val="uk" w:eastAsia="uk"/>
        </w:rPr>
        <w:t xml:space="preserve">Сигнальний документ — </w:t>
      </w:r>
      <w:hyperlink r:id="rId18" w:history="1">
        <w:r>
          <w:rPr>
            <w:rFonts w:ascii="Times New Roman" w:eastAsia="Times New Roman" w:hAnsi="Times New Roman" w:cs="Times New Roman"/>
            <w:b/>
            <w:bCs/>
            <w:color w:val="0000EE"/>
            <w:u w:val="single" w:color="0000EE"/>
            <w:lang w:val="uk" w:eastAsia="uk"/>
          </w:rPr>
          <w:t>f541316n134.docx</w:t>
        </w:r>
      </w:hyperlink>
      <w:r>
        <w:rPr>
          <w:rFonts w:ascii="Times New Roman" w:eastAsia="Times New Roman" w:hAnsi="Times New Roman" w:cs="Times New Roman"/>
          <w:lang w:val="uk" w:eastAsia="uk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uk" w:eastAsia="uk"/>
        </w:rPr>
        <w:t>від 27.12.24 15:40, 19 кб</w:t>
      </w:r>
    </w:p>
    <w:p>
      <w:pPr>
        <w:numPr>
          <w:ilvl w:val="0"/>
          <w:numId w:val="1"/>
        </w:numPr>
        <w:ind w:left="720" w:hanging="210"/>
        <w:jc w:val="left"/>
        <w:rPr>
          <w:rFonts w:ascii="Times New Roman" w:eastAsia="Times New Roman" w:hAnsi="Times New Roman" w:cs="Times New Roman"/>
          <w:lang w:val="uk" w:eastAsia="uk"/>
        </w:rPr>
      </w:pPr>
      <w:r>
        <w:rPr>
          <w:rFonts w:ascii="Times New Roman" w:eastAsia="Times New Roman" w:hAnsi="Times New Roman" w:cs="Times New Roman"/>
          <w:lang w:val="uk" w:eastAsia="uk"/>
        </w:rPr>
        <w:t xml:space="preserve">Сигнальний документ — </w:t>
      </w:r>
      <w:hyperlink r:id="rId19" w:history="1">
        <w:r>
          <w:rPr>
            <w:rFonts w:ascii="Times New Roman" w:eastAsia="Times New Roman" w:hAnsi="Times New Roman" w:cs="Times New Roman"/>
            <w:b/>
            <w:bCs/>
            <w:color w:val="0000EE"/>
            <w:u w:val="single" w:color="0000EE"/>
            <w:lang w:val="uk" w:eastAsia="uk"/>
          </w:rPr>
          <w:t>f541316n125.docx</w:t>
        </w:r>
      </w:hyperlink>
      <w:r>
        <w:rPr>
          <w:rFonts w:ascii="Times New Roman" w:eastAsia="Times New Roman" w:hAnsi="Times New Roman" w:cs="Times New Roman"/>
          <w:lang w:val="uk" w:eastAsia="uk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uk" w:eastAsia="uk"/>
        </w:rPr>
        <w:t>від 27.12.24 15:40, 17 кб</w:t>
      </w:r>
    </w:p>
    <w:p>
      <w:pPr>
        <w:numPr>
          <w:ilvl w:val="0"/>
          <w:numId w:val="1"/>
        </w:numPr>
        <w:ind w:left="720" w:hanging="210"/>
        <w:jc w:val="left"/>
        <w:rPr>
          <w:rFonts w:ascii="Times New Roman" w:eastAsia="Times New Roman" w:hAnsi="Times New Roman" w:cs="Times New Roman"/>
          <w:lang w:val="uk" w:eastAsia="uk"/>
        </w:rPr>
      </w:pPr>
      <w:r>
        <w:rPr>
          <w:rFonts w:ascii="Times New Roman" w:eastAsia="Times New Roman" w:hAnsi="Times New Roman" w:cs="Times New Roman"/>
          <w:lang w:val="uk" w:eastAsia="uk"/>
        </w:rPr>
        <w:t xml:space="preserve">Сигнальний документ — </w:t>
      </w:r>
      <w:hyperlink r:id="rId20" w:history="1">
        <w:r>
          <w:rPr>
            <w:rFonts w:ascii="Times New Roman" w:eastAsia="Times New Roman" w:hAnsi="Times New Roman" w:cs="Times New Roman"/>
            <w:b/>
            <w:bCs/>
            <w:color w:val="0000EE"/>
            <w:u w:val="single" w:color="0000EE"/>
            <w:lang w:val="uk" w:eastAsia="uk"/>
          </w:rPr>
          <w:t>f541316n126.docx</w:t>
        </w:r>
      </w:hyperlink>
      <w:r>
        <w:rPr>
          <w:rFonts w:ascii="Times New Roman" w:eastAsia="Times New Roman" w:hAnsi="Times New Roman" w:cs="Times New Roman"/>
          <w:lang w:val="uk" w:eastAsia="uk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uk" w:eastAsia="uk"/>
        </w:rPr>
        <w:t>від 27.12.24 15:40, 16 кб</w:t>
      </w:r>
    </w:p>
    <w:p>
      <w:pPr>
        <w:numPr>
          <w:ilvl w:val="0"/>
          <w:numId w:val="1"/>
        </w:numPr>
        <w:spacing w:after="240"/>
        <w:ind w:left="720" w:hanging="210"/>
        <w:jc w:val="left"/>
        <w:rPr>
          <w:rFonts w:ascii="Times New Roman" w:eastAsia="Times New Roman" w:hAnsi="Times New Roman" w:cs="Times New Roman"/>
          <w:lang w:val="uk" w:eastAsia="uk"/>
        </w:rPr>
      </w:pPr>
      <w:r>
        <w:rPr>
          <w:rFonts w:ascii="Times New Roman" w:eastAsia="Times New Roman" w:hAnsi="Times New Roman" w:cs="Times New Roman"/>
          <w:lang w:val="uk" w:eastAsia="uk"/>
        </w:rPr>
        <w:t xml:space="preserve">Сигнальний документ — </w:t>
      </w:r>
      <w:hyperlink r:id="rId21" w:history="1">
        <w:r>
          <w:rPr>
            <w:rFonts w:ascii="Times New Roman" w:eastAsia="Times New Roman" w:hAnsi="Times New Roman" w:cs="Times New Roman"/>
            <w:b/>
            <w:bCs/>
            <w:color w:val="0000EE"/>
            <w:u w:val="single" w:color="0000EE"/>
            <w:lang w:val="uk" w:eastAsia="uk"/>
          </w:rPr>
          <w:t>f541316n127.docx</w:t>
        </w:r>
      </w:hyperlink>
      <w:r>
        <w:rPr>
          <w:rFonts w:ascii="Times New Roman" w:eastAsia="Times New Roman" w:hAnsi="Times New Roman" w:cs="Times New Roman"/>
          <w:lang w:val="uk" w:eastAsia="uk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uk" w:eastAsia="uk"/>
        </w:rPr>
        <w:t>від 27.12.24 15:40, 16 кб</w:t>
      </w:r>
    </w:p>
    <w:p>
      <w:pPr>
        <w:pStyle w:val="stamp"/>
        <w:rPr>
          <w:rFonts w:ascii="Times New Roman" w:eastAsia="Times New Roman" w:hAnsi="Times New Roman" w:cs="Times New Roman"/>
          <w:lang w:val="uk" w:eastAsia="uk"/>
        </w:rPr>
      </w:pPr>
      <w:r>
        <w:pict>
          <v:rect id="_x0000_i1028" style="width:468pt;height:0" o:hrpct="1000" o:hralign="center" o:hrstd="t" o:hrnoshade="t" o:hr="t" filled="t" fillcolor="gray" stroked="f">
            <v:path strokeok="f"/>
          </v:rect>
        </w:pict>
      </w:r>
    </w:p>
    <w:p>
      <w:pPr>
        <w:pStyle w:val="Heading2"/>
        <w:keepNext w:val="0"/>
        <w:keepLines w:val="0"/>
        <w:spacing w:before="299" w:after="299"/>
        <w:rPr>
          <w:rFonts w:ascii="Times New Roman" w:eastAsia="Times New Roman" w:hAnsi="Times New Roman" w:cs="Times New Roman"/>
          <w:b/>
          <w:bCs/>
          <w:sz w:val="36"/>
          <w:szCs w:val="36"/>
          <w:lang w:val="uk" w:eastAsia="uk"/>
        </w:rPr>
      </w:pPr>
      <w:r>
        <w:rPr>
          <w:i w:val="0"/>
          <w:color w:val="auto"/>
          <w:lang w:val="uk" w:eastAsia="uk"/>
        </w:rPr>
        <w:t>Публікації документа</w:t>
      </w:r>
    </w:p>
    <w:p>
      <w:pPr>
        <w:numPr>
          <w:ilvl w:val="0"/>
          <w:numId w:val="2"/>
        </w:numPr>
        <w:spacing w:before="240" w:after="240"/>
        <w:ind w:left="720" w:hanging="210"/>
        <w:jc w:val="left"/>
        <w:rPr>
          <w:rFonts w:ascii="Times New Roman" w:eastAsia="Times New Roman" w:hAnsi="Times New Roman" w:cs="Times New Roman"/>
          <w:lang w:val="uk" w:eastAsia="uk"/>
        </w:rPr>
      </w:pPr>
      <w:r>
        <w:rPr>
          <w:rFonts w:ascii="Times New Roman" w:eastAsia="Times New Roman" w:hAnsi="Times New Roman" w:cs="Times New Roman"/>
          <w:b/>
          <w:bCs/>
          <w:lang w:val="uk" w:eastAsia="uk"/>
        </w:rPr>
        <w:t>Офіційний вісник України</w:t>
      </w:r>
      <w:r>
        <w:rPr>
          <w:rFonts w:ascii="Times New Roman" w:eastAsia="Times New Roman" w:hAnsi="Times New Roman" w:cs="Times New Roman"/>
          <w:lang w:val="uk" w:eastAsia="uk"/>
        </w:rPr>
        <w:t xml:space="preserve"> від 17.12.2024 — 2024 р., № 106, стаття 6760, код акта 128702/2024</w:t>
      </w:r>
    </w:p>
    <w:sectPr>
      <w:pgMar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rvps14">
    <w:name w:val="rvps14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firstLine="0"/>
      <w:jc w:val="left"/>
    </w:pPr>
  </w:style>
  <w:style w:type="paragraph" w:customStyle="1" w:styleId="rvps4">
    <w:name w:val="rvps4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firstLine="0"/>
      <w:jc w:val="center"/>
    </w:pPr>
  </w:style>
  <w:style w:type="paragraph" w:customStyle="1" w:styleId="rvps1">
    <w:name w:val="rvps1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firstLine="0"/>
      <w:jc w:val="center"/>
    </w:pPr>
  </w:style>
  <w:style w:type="character" w:customStyle="1" w:styleId="spanrvts15">
    <w:name w:val="span_rvts15"/>
    <w:basedOn w:val="DefaultParagraphFont"/>
    <w:rPr>
      <w:rFonts w:ascii="Times New Roman" w:eastAsia="Times New Roman" w:hAnsi="Times New Roman" w:cs="Times New Roman"/>
      <w:b/>
      <w:bCs/>
      <w:i w:val="0"/>
      <w:iCs w:val="0"/>
      <w:sz w:val="28"/>
      <w:szCs w:val="28"/>
    </w:rPr>
  </w:style>
  <w:style w:type="character" w:customStyle="1" w:styleId="spanrvts23">
    <w:name w:val="span_rvts23"/>
    <w:basedOn w:val="DefaultParagraphFont"/>
    <w:rPr>
      <w:rFonts w:ascii="Times New Roman" w:eastAsia="Times New Roman" w:hAnsi="Times New Roman" w:cs="Times New Roman"/>
      <w:b/>
      <w:bCs/>
      <w:i w:val="0"/>
      <w:iCs w:val="0"/>
      <w:sz w:val="32"/>
      <w:szCs w:val="32"/>
    </w:rPr>
  </w:style>
  <w:style w:type="paragraph" w:customStyle="1" w:styleId="rvps7">
    <w:name w:val="rvps7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firstLine="0"/>
      <w:jc w:val="center"/>
    </w:pPr>
  </w:style>
  <w:style w:type="character" w:customStyle="1" w:styleId="spanrvts9">
    <w:name w:val="span_rvts9"/>
    <w:basedOn w:val="DefaultParagraphFont"/>
    <w:rPr>
      <w:rFonts w:ascii="Times New Roman" w:eastAsia="Times New Roman" w:hAnsi="Times New Roman" w:cs="Times New Roman"/>
      <w:b/>
      <w:bCs/>
      <w:i w:val="0"/>
      <w:iCs w:val="0"/>
      <w:sz w:val="24"/>
      <w:szCs w:val="24"/>
    </w:rPr>
  </w:style>
  <w:style w:type="table" w:customStyle="1" w:styleId="articletable">
    <w:name w:val="article_table"/>
    <w:basedOn w:val="TableNormal"/>
    <w:tblPr/>
  </w:style>
  <w:style w:type="paragraph" w:customStyle="1" w:styleId="rvps8">
    <w:name w:val="rvps8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firstLine="0"/>
      <w:jc w:val="both"/>
    </w:pPr>
  </w:style>
  <w:style w:type="paragraph" w:customStyle="1" w:styleId="rvps6">
    <w:name w:val="rvps6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firstLine="0"/>
      <w:jc w:val="center"/>
    </w:pPr>
  </w:style>
  <w:style w:type="paragraph" w:customStyle="1" w:styleId="rvps2">
    <w:name w:val="rvps2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firstLine="450"/>
      <w:jc w:val="both"/>
    </w:pPr>
  </w:style>
  <w:style w:type="character" w:customStyle="1" w:styleId="arvts96">
    <w:name w:val="a_rvts96"/>
    <w:basedOn w:val="DefaultParagraphFont"/>
    <w:rPr>
      <w:rFonts w:ascii="Times New Roman" w:eastAsia="Times New Roman" w:hAnsi="Times New Roman" w:cs="Times New Roman"/>
      <w:b w:val="0"/>
      <w:bCs w:val="0"/>
      <w:i w:val="0"/>
      <w:iCs w:val="0"/>
      <w:color w:val="000099"/>
      <w:sz w:val="24"/>
      <w:szCs w:val="24"/>
    </w:rPr>
  </w:style>
  <w:style w:type="character" w:customStyle="1" w:styleId="spanrvts52">
    <w:name w:val="span_rvts52"/>
    <w:basedOn w:val="DefaultParagraphFont"/>
    <w:rPr>
      <w:rFonts w:ascii="Times New Roman" w:eastAsia="Times New Roman" w:hAnsi="Times New Roman" w:cs="Times New Roman"/>
      <w:b/>
      <w:bCs/>
      <w:i w:val="0"/>
      <w:iCs w:val="0"/>
      <w:spacing w:val="30"/>
      <w:sz w:val="24"/>
      <w:szCs w:val="24"/>
    </w:rPr>
  </w:style>
  <w:style w:type="character" w:customStyle="1" w:styleId="arvts99">
    <w:name w:val="a_rvts99"/>
    <w:basedOn w:val="DefaultParagraphFont"/>
    <w:rPr>
      <w:rFonts w:ascii="Times New Roman" w:eastAsia="Times New Roman" w:hAnsi="Times New Roman" w:cs="Times New Roman"/>
      <w:b w:val="0"/>
      <w:bCs w:val="0"/>
      <w:i w:val="0"/>
      <w:iCs w:val="0"/>
      <w:color w:val="006600"/>
      <w:sz w:val="24"/>
      <w:szCs w:val="24"/>
    </w:rPr>
  </w:style>
  <w:style w:type="character" w:customStyle="1" w:styleId="spanrvts44">
    <w:name w:val="span_rvts44"/>
    <w:basedOn w:val="DefaultParagraphFont"/>
    <w:rPr>
      <w:rFonts w:ascii="Times New Roman" w:eastAsia="Times New Roman" w:hAnsi="Times New Roman" w:cs="Times New Roman"/>
      <w:b/>
      <w:bCs/>
      <w:i w:val="0"/>
      <w:iCs w:val="0"/>
      <w:sz w:val="24"/>
      <w:szCs w:val="24"/>
    </w:rPr>
  </w:style>
  <w:style w:type="paragraph" w:customStyle="1" w:styleId="rvps15">
    <w:name w:val="rvps15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firstLine="0"/>
      <w:jc w:val="right"/>
    </w:pPr>
  </w:style>
  <w:style w:type="paragraph" w:customStyle="1" w:styleId="rvps11">
    <w:name w:val="rvps11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firstLine="0"/>
      <w:jc w:val="right"/>
    </w:pPr>
  </w:style>
  <w:style w:type="paragraph" w:customStyle="1" w:styleId="break">
    <w:name w:val="break"/>
    <w:basedOn w:val="Normal"/>
    <w:pPr>
      <w:pageBreakBefore/>
    </w:pPr>
  </w:style>
  <w:style w:type="character" w:customStyle="1" w:styleId="spanrvts40">
    <w:name w:val="span_rvts40"/>
    <w:basedOn w:val="DefaultParagraphFont"/>
    <w:rPr>
      <w:rFonts w:ascii="Times New Roman" w:eastAsia="Times New Roman" w:hAnsi="Times New Roman" w:cs="Times New Roman"/>
      <w:b/>
      <w:bCs/>
      <w:i w:val="0"/>
      <w:iCs w:val="0"/>
      <w:sz w:val="24"/>
      <w:szCs w:val="24"/>
      <w:vertAlign w:val="subscript"/>
    </w:rPr>
  </w:style>
  <w:style w:type="character" w:customStyle="1" w:styleId="arvts117">
    <w:name w:val="a_rvts117"/>
    <w:basedOn w:val="DefaultParagraphFont"/>
    <w:rPr>
      <w:rFonts w:ascii="Times New Roman" w:eastAsia="Times New Roman" w:hAnsi="Times New Roman" w:cs="Times New Roman"/>
      <w:b/>
      <w:bCs/>
      <w:i w:val="0"/>
      <w:iCs w:val="0"/>
      <w:color w:val="000099"/>
      <w:sz w:val="24"/>
      <w:szCs w:val="24"/>
      <w:vertAlign w:val="superscript"/>
    </w:rPr>
  </w:style>
  <w:style w:type="paragraph" w:customStyle="1" w:styleId="rvps12">
    <w:name w:val="rvps12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firstLine="0"/>
      <w:jc w:val="center"/>
    </w:pPr>
  </w:style>
  <w:style w:type="character" w:customStyle="1" w:styleId="spanrvts80">
    <w:name w:val="span_rvts80"/>
    <w:basedOn w:val="DefaultParagraphFont"/>
    <w:rPr>
      <w:rFonts w:ascii="Lucida Sans Unicode" w:eastAsia="Lucida Sans Unicode" w:hAnsi="Lucida Sans Unicode" w:cs="Lucida Sans Unicode"/>
      <w:b/>
      <w:bCs/>
      <w:i w:val="0"/>
      <w:iCs w:val="0"/>
      <w:sz w:val="24"/>
      <w:szCs w:val="24"/>
    </w:rPr>
  </w:style>
  <w:style w:type="character" w:customStyle="1" w:styleId="arvts103">
    <w:name w:val="a_rvts103"/>
    <w:basedOn w:val="DefaultParagraphFont"/>
    <w:rPr>
      <w:rFonts w:ascii="Times New Roman" w:eastAsia="Times New Roman" w:hAnsi="Times New Roman" w:cs="Times New Roman"/>
      <w:b/>
      <w:bCs/>
      <w:i w:val="0"/>
      <w:iCs w:val="0"/>
      <w:color w:val="C00909"/>
      <w:sz w:val="28"/>
      <w:szCs w:val="28"/>
    </w:rPr>
  </w:style>
  <w:style w:type="paragraph" w:customStyle="1" w:styleId="stamp">
    <w:name w:val="stamp"/>
    <w:basedOn w:val="Normal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zakon.rada.gov.ua/laws/show/1556-18" TargetMode="External" /><Relationship Id="rId11" Type="http://schemas.openxmlformats.org/officeDocument/2006/relationships/hyperlink" Target="https://zakon.rada.gov.ua/laws/show/1700-18" TargetMode="External" /><Relationship Id="rId12" Type="http://schemas.openxmlformats.org/officeDocument/2006/relationships/hyperlink" Target="https://zakon.rada.gov.ua/laws/show/736-2016-%D0%BF" TargetMode="External" /><Relationship Id="rId13" Type="http://schemas.openxmlformats.org/officeDocument/2006/relationships/hyperlink" Target="https://zakon.rada.gov.ua/laws/file/text/123/f541316n131.docx" TargetMode="External" /><Relationship Id="rId14" Type="http://schemas.openxmlformats.org/officeDocument/2006/relationships/hyperlink" Target="https://zakon.rada.gov.ua/laws/file/text/123/f541316n120.docx" TargetMode="External" /><Relationship Id="rId15" Type="http://schemas.openxmlformats.org/officeDocument/2006/relationships/hyperlink" Target="https://zakon.rada.gov.ua/laws/file/text/123/f541316n132.docx" TargetMode="External" /><Relationship Id="rId16" Type="http://schemas.openxmlformats.org/officeDocument/2006/relationships/hyperlink" Target="https://zakon.rada.gov.ua/laws/file/text/123/f541316n133.docx" TargetMode="External" /><Relationship Id="rId17" Type="http://schemas.openxmlformats.org/officeDocument/2006/relationships/hyperlink" Target="https://zakon.rada.gov.ua/laws/file/text/123/f541316n129.docx" TargetMode="External" /><Relationship Id="rId18" Type="http://schemas.openxmlformats.org/officeDocument/2006/relationships/hyperlink" Target="https://zakon.rada.gov.ua/laws/file/text/123/f541316n134.docx" TargetMode="External" /><Relationship Id="rId19" Type="http://schemas.openxmlformats.org/officeDocument/2006/relationships/hyperlink" Target="https://zakon.rada.gov.ua/laws/file/text/123/f541316n125.docx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zakon.rada.gov.ua/laws/file/text/123/f541316n126.docx" TargetMode="External" /><Relationship Id="rId21" Type="http://schemas.openxmlformats.org/officeDocument/2006/relationships/hyperlink" Target="https://zakon.rada.gov.ua/laws/file/text/123/f541316n127.docx" TargetMode="External" /><Relationship Id="rId22" Type="http://schemas.openxmlformats.org/officeDocument/2006/relationships/image" Target="media/image2.png" /><Relationship Id="rId23" Type="http://schemas.openxmlformats.org/officeDocument/2006/relationships/image" Target="media/image3.png" /><Relationship Id="rId24" Type="http://schemas.openxmlformats.org/officeDocument/2006/relationships/theme" Target="theme/theme1.xml" /><Relationship Id="rId25" Type="http://schemas.openxmlformats.org/officeDocument/2006/relationships/numbering" Target="numbering.xml" /><Relationship Id="rId26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gif" /><Relationship Id="rId5" Type="http://schemas.openxmlformats.org/officeDocument/2006/relationships/hyperlink" Target="https://zakon.rada.gov.ua/laws/show/540-2017-%D0%BF" TargetMode="External" /><Relationship Id="rId6" Type="http://schemas.openxmlformats.org/officeDocument/2006/relationships/hyperlink" Target="https://zakon.rada.gov.ua/laws/show/z1744-24" TargetMode="External" /><Relationship Id="rId7" Type="http://schemas.openxmlformats.org/officeDocument/2006/relationships/hyperlink" Target="https://zakon.rada.gov.ua/laws/show/z1504-18" TargetMode="External" /><Relationship Id="rId8" Type="http://schemas.openxmlformats.org/officeDocument/2006/relationships/hyperlink" Target="https://zakon.rada.gov.ua/laws/show/z0688-19" TargetMode="External" /><Relationship Id="rId9" Type="http://schemas.openxmlformats.org/officeDocument/2006/relationships/hyperlink" Target="https://zakon.rada.gov.ua/laws/show/848-1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 державну атестацію наукових установ та закладів вищої освіти в частині провадження такими закладами наукової (науково-технічної) ... | від 21.10.2024 № 1485</dc:title>
  <cp:revision>0</cp:revision>
</cp:coreProperties>
</file>