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 w:cstheme="minorBidi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535947344" w:displacedByCustomXml="prev"/>
        <w:bookmarkStart w:id="1" w:name="_Toc535929213" w:displacedByCustomXml="prev"/>
        <w:p w:rsidR="003B7248" w:rsidRPr="00CA3600" w:rsidRDefault="003B7248" w:rsidP="003B7248">
          <w:pPr>
            <w:pStyle w:val="Heading1"/>
            <w:numPr>
              <w:ilvl w:val="0"/>
              <w:numId w:val="0"/>
            </w:numPr>
            <w:ind w:left="360" w:hanging="360"/>
            <w:jc w:val="center"/>
            <w:rPr>
              <w:sz w:val="32"/>
              <w:szCs w:val="32"/>
              <w:u w:val="single"/>
            </w:rPr>
          </w:pPr>
          <w:r w:rsidRPr="00CA3600">
            <w:rPr>
              <w:rFonts w:eastAsiaTheme="minorEastAsia"/>
              <w:bCs w:val="0"/>
              <w:caps w:val="0"/>
              <w:spacing w:val="0"/>
              <w:sz w:val="32"/>
              <w:szCs w:val="32"/>
              <w:u w:val="single"/>
            </w:rPr>
            <w:t>MOSIP-HIGH LEVEL DESIGN</w:t>
          </w:r>
        </w:p>
        <w:p w:rsidR="00BD434A" w:rsidRPr="000545C9" w:rsidRDefault="00BD434A" w:rsidP="00BD434A">
          <w:pPr>
            <w:pStyle w:val="Heading1"/>
          </w:pPr>
          <w:r w:rsidRPr="00991C8D">
            <w:t>Purpose</w:t>
          </w:r>
          <w:bookmarkEnd w:id="1"/>
          <w:bookmarkEnd w:id="0"/>
        </w:p>
        <w:p w:rsidR="00BD434A" w:rsidRPr="004F6176" w:rsidRDefault="00BD434A" w:rsidP="00BD434A">
          <w:pPr>
            <w:pStyle w:val="Heading11paragraph"/>
            <w:ind w:left="0"/>
            <w:rPr>
              <w:rFonts w:asciiTheme="minorHAnsi" w:hAnsiTheme="minorHAnsi" w:cstheme="minorHAnsi"/>
              <w:sz w:val="24"/>
              <w:szCs w:val="24"/>
            </w:rPr>
          </w:pPr>
          <w:bookmarkStart w:id="2" w:name="OLE_LINK3"/>
          <w:bookmarkStart w:id="3" w:name="OLE_LINK4"/>
          <w:bookmarkStart w:id="4" w:name="_Toc162074531"/>
          <w:r w:rsidRPr="004F6176">
            <w:rPr>
              <w:rFonts w:asciiTheme="minorHAnsi" w:hAnsiTheme="minorHAnsi" w:cstheme="minorHAnsi"/>
              <w:sz w:val="24"/>
              <w:szCs w:val="24"/>
            </w:rPr>
            <w:t xml:space="preserve">The purpose of this Document is to describe the </w:t>
          </w:r>
          <w:proofErr w:type="gramStart"/>
          <w:r w:rsidRPr="004F6176">
            <w:rPr>
              <w:rFonts w:asciiTheme="minorHAnsi" w:hAnsiTheme="minorHAnsi" w:cstheme="minorHAnsi"/>
              <w:sz w:val="24"/>
              <w:szCs w:val="24"/>
            </w:rPr>
            <w:t>high level</w:t>
          </w:r>
          <w:proofErr w:type="gramEnd"/>
          <w:r w:rsidRPr="004F6176">
            <w:rPr>
              <w:rFonts w:asciiTheme="minorHAnsi" w:hAnsiTheme="minorHAnsi" w:cstheme="minorHAnsi"/>
              <w:sz w:val="24"/>
              <w:szCs w:val="24"/>
            </w:rPr>
            <w:t xml:space="preserve"> design aspects of MOSIP.</w:t>
          </w:r>
          <w:bookmarkEnd w:id="2"/>
          <w:bookmarkEnd w:id="3"/>
        </w:p>
        <w:p w:rsidR="00BD434A" w:rsidRPr="000545C9" w:rsidRDefault="00BD434A" w:rsidP="00BD434A">
          <w:pPr>
            <w:pStyle w:val="Heading1"/>
          </w:pPr>
          <w:bookmarkStart w:id="5" w:name="_Toc535929214"/>
          <w:bookmarkStart w:id="6" w:name="_Toc535947345"/>
          <w:bookmarkEnd w:id="4"/>
          <w:r w:rsidRPr="00744ACC">
            <w:t>Revision</w:t>
          </w:r>
          <w:r w:rsidRPr="000545C9">
            <w:t xml:space="preserve"> </w:t>
          </w:r>
          <w:r>
            <w:t>h</w:t>
          </w:r>
          <w:r w:rsidRPr="000545C9">
            <w:t>istory</w:t>
          </w:r>
          <w:bookmarkEnd w:id="5"/>
          <w:bookmarkEnd w:id="6"/>
          <w:r w:rsidRPr="000545C9">
            <w:t xml:space="preserve"> </w:t>
          </w:r>
        </w:p>
        <w:p w:rsidR="00BD434A" w:rsidRPr="004F6176" w:rsidRDefault="00BD434A" w:rsidP="00BD434A">
          <w:pPr>
            <w:pStyle w:val="Heading11paragraph"/>
            <w:spacing w:after="360"/>
            <w:ind w:left="0"/>
            <w:rPr>
              <w:rFonts w:asciiTheme="minorHAnsi" w:hAnsiTheme="minorHAnsi" w:cstheme="minorBidi"/>
              <w:sz w:val="24"/>
              <w:szCs w:val="24"/>
            </w:rPr>
          </w:pPr>
          <w:r w:rsidRPr="004F6176">
            <w:rPr>
              <w:rFonts w:asciiTheme="minorHAnsi" w:hAnsiTheme="minorHAnsi" w:cstheme="minorBidi"/>
              <w:sz w:val="24"/>
              <w:szCs w:val="24"/>
            </w:rPr>
            <w:t xml:space="preserve">The Revision history table shows the date, changes, and authors who have worked on this document. </w:t>
          </w:r>
        </w:p>
        <w:tbl>
          <w:tblPr>
            <w:tblStyle w:val="TableGrid"/>
            <w:tblW w:w="0" w:type="auto"/>
            <w:tblInd w:w="445" w:type="dxa"/>
            <w:tblLook w:val="04A0" w:firstRow="1" w:lastRow="0" w:firstColumn="1" w:lastColumn="0" w:noHBand="0" w:noVBand="1"/>
          </w:tblPr>
          <w:tblGrid>
            <w:gridCol w:w="2044"/>
            <w:gridCol w:w="2287"/>
            <w:gridCol w:w="2300"/>
            <w:gridCol w:w="2274"/>
          </w:tblGrid>
          <w:tr w:rsidR="00BD434A" w:rsidRPr="00BD434A" w:rsidTr="00671F33">
            <w:tc>
              <w:tcPr>
                <w:tcW w:w="2044" w:type="dxa"/>
                <w:shd w:val="pct10" w:color="D0CECE" w:themeColor="background2" w:themeShade="E6" w:fill="D0CECE" w:themeFill="background2" w:themeFillShade="E6"/>
                <w:vAlign w:val="center"/>
              </w:tcPr>
              <w:p w:rsidR="00BD434A" w:rsidRPr="00BD434A" w:rsidRDefault="00BD434A" w:rsidP="00671F33">
                <w:pPr>
                  <w:pStyle w:val="TableHead"/>
                  <w:jc w:val="center"/>
                </w:pPr>
                <w:r w:rsidRPr="00BD434A">
                  <w:t>Version/Change request number</w:t>
                </w:r>
              </w:p>
            </w:tc>
            <w:tc>
              <w:tcPr>
                <w:tcW w:w="2287" w:type="dxa"/>
                <w:shd w:val="pct10" w:color="D0CECE" w:themeColor="background2" w:themeShade="E6" w:fill="D0CECE" w:themeFill="background2" w:themeFillShade="E6"/>
                <w:vAlign w:val="center"/>
              </w:tcPr>
              <w:p w:rsidR="00BD434A" w:rsidRPr="00BD434A" w:rsidRDefault="00BD434A" w:rsidP="00671F33">
                <w:pPr>
                  <w:pStyle w:val="TableHead"/>
                  <w:jc w:val="center"/>
                </w:pPr>
                <w:r w:rsidRPr="00BD434A">
                  <w:t>Version date</w:t>
                </w:r>
              </w:p>
            </w:tc>
            <w:tc>
              <w:tcPr>
                <w:tcW w:w="2300" w:type="dxa"/>
                <w:shd w:val="pct10" w:color="D0CECE" w:themeColor="background2" w:themeShade="E6" w:fill="D0CECE" w:themeFill="background2" w:themeFillShade="E6"/>
                <w:vAlign w:val="center"/>
              </w:tcPr>
              <w:p w:rsidR="00BD434A" w:rsidRPr="00BD434A" w:rsidRDefault="00BD434A" w:rsidP="00671F33">
                <w:pPr>
                  <w:pStyle w:val="TableHead"/>
                  <w:jc w:val="center"/>
                </w:pPr>
                <w:r w:rsidRPr="00BD434A">
                  <w:t>Description of changes</w:t>
                </w:r>
              </w:p>
            </w:tc>
            <w:tc>
              <w:tcPr>
                <w:tcW w:w="2274" w:type="dxa"/>
                <w:shd w:val="pct10" w:color="D0CECE" w:themeColor="background2" w:themeShade="E6" w:fill="D0CECE" w:themeFill="background2" w:themeFillShade="E6"/>
                <w:vAlign w:val="center"/>
              </w:tcPr>
              <w:p w:rsidR="00BD434A" w:rsidRPr="00BD434A" w:rsidRDefault="00BD434A" w:rsidP="00671F33">
                <w:pPr>
                  <w:pStyle w:val="TableHead"/>
                  <w:jc w:val="center"/>
                </w:pPr>
                <w:r w:rsidRPr="00BD434A">
                  <w:t>Author</w:t>
                </w:r>
              </w:p>
            </w:tc>
          </w:tr>
          <w:tr w:rsidR="00BD434A" w:rsidRPr="00BD434A" w:rsidTr="00671F33">
            <w:tc>
              <w:tcPr>
                <w:tcW w:w="2044" w:type="dxa"/>
                <w:vAlign w:val="center"/>
              </w:tcPr>
              <w:p w:rsidR="00BD434A" w:rsidRPr="00BD434A" w:rsidRDefault="00BD434A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1.0</w:t>
                </w:r>
              </w:p>
            </w:tc>
            <w:tc>
              <w:tcPr>
                <w:tcW w:w="2287" w:type="dxa"/>
                <w:vAlign w:val="center"/>
              </w:tcPr>
              <w:p w:rsidR="00BD434A" w:rsidRPr="00BD434A" w:rsidRDefault="00BD434A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25</w:t>
                </w:r>
                <w:r w:rsidRPr="00BD434A">
                  <w:rPr>
                    <w:rFonts w:ascii="Arial" w:hAnsi="Arial" w:cs="Arial"/>
                    <w:sz w:val="20"/>
                    <w:szCs w:val="20"/>
                  </w:rPr>
                  <w:t>/01/2019</w:t>
                </w:r>
              </w:p>
            </w:tc>
            <w:tc>
              <w:tcPr>
                <w:tcW w:w="2300" w:type="dxa"/>
                <w:vAlign w:val="center"/>
              </w:tcPr>
              <w:p w:rsidR="00BD434A" w:rsidRPr="00BD434A" w:rsidRDefault="00BD434A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bookmarkStart w:id="7" w:name="_GoBack"/>
                <w:bookmarkEnd w:id="7"/>
                <w:r w:rsidRPr="00BD434A">
                  <w:rPr>
                    <w:rFonts w:ascii="Arial" w:hAnsi="Arial" w:cs="Arial"/>
                    <w:sz w:val="20"/>
                    <w:szCs w:val="20"/>
                  </w:rPr>
                  <w:t>First Draft</w:t>
                </w:r>
              </w:p>
            </w:tc>
            <w:tc>
              <w:tcPr>
                <w:tcW w:w="2274" w:type="dxa"/>
                <w:vAlign w:val="center"/>
              </w:tcPr>
              <w:p w:rsidR="00BD434A" w:rsidRPr="00BD434A" w:rsidRDefault="00BD434A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Rahuul &amp; </w:t>
                </w:r>
                <w:r w:rsidR="007818E8">
                  <w:rPr>
                    <w:rFonts w:ascii="Arial" w:hAnsi="Arial" w:cs="Arial"/>
                    <w:sz w:val="20"/>
                    <w:szCs w:val="20"/>
                  </w:rPr>
                  <w:t>Resham</w:t>
                </w:r>
              </w:p>
            </w:tc>
          </w:tr>
          <w:tr w:rsidR="00AC6EA4" w:rsidRPr="00BD434A" w:rsidTr="00671F33">
            <w:tc>
              <w:tcPr>
                <w:tcW w:w="2044" w:type="dxa"/>
                <w:vAlign w:val="center"/>
              </w:tcPr>
              <w:p w:rsidR="00AC6EA4" w:rsidRDefault="00AC6EA4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2.0</w:t>
                </w:r>
              </w:p>
            </w:tc>
            <w:tc>
              <w:tcPr>
                <w:tcW w:w="2287" w:type="dxa"/>
                <w:vAlign w:val="center"/>
              </w:tcPr>
              <w:p w:rsidR="00AC6EA4" w:rsidRDefault="00AC6EA4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05/02/2019</w:t>
                </w:r>
              </w:p>
            </w:tc>
            <w:tc>
              <w:tcPr>
                <w:tcW w:w="2300" w:type="dxa"/>
                <w:vAlign w:val="center"/>
              </w:tcPr>
              <w:p w:rsidR="00AC6EA4" w:rsidRPr="00BD434A" w:rsidRDefault="002276FF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Modified Version</w:t>
                </w:r>
              </w:p>
            </w:tc>
            <w:tc>
              <w:tcPr>
                <w:tcW w:w="2274" w:type="dxa"/>
                <w:vAlign w:val="center"/>
              </w:tcPr>
              <w:p w:rsidR="00AC6EA4" w:rsidRDefault="00AC6EA4" w:rsidP="00671F3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Rahuul &amp; </w:t>
                </w:r>
                <w:r w:rsidR="007818E8">
                  <w:rPr>
                    <w:rFonts w:ascii="Arial" w:hAnsi="Arial" w:cs="Arial"/>
                    <w:sz w:val="20"/>
                    <w:szCs w:val="20"/>
                  </w:rPr>
                  <w:t>Resham</w:t>
                </w:r>
              </w:p>
            </w:tc>
          </w:tr>
        </w:tbl>
        <w:p w:rsidR="00A82EBA" w:rsidRDefault="00A82EBA" w:rsidP="00A82EBA">
          <w:pPr>
            <w:pStyle w:val="Heading1"/>
          </w:pPr>
          <w:r>
            <w:t>Architecture</w:t>
          </w:r>
        </w:p>
        <w:p w:rsidR="00496E99" w:rsidRPr="004F6176" w:rsidRDefault="004F6176" w:rsidP="004F6176">
          <w:pPr>
            <w:pStyle w:val="Heading11paragraph"/>
            <w:spacing w:after="360"/>
            <w:ind w:left="0"/>
            <w:rPr>
              <w:rFonts w:asciiTheme="minorHAnsi" w:hAnsiTheme="minorHAnsi" w:cstheme="minorBidi"/>
              <w:sz w:val="24"/>
              <w:szCs w:val="24"/>
            </w:rPr>
          </w:pPr>
          <w:r w:rsidRPr="004F6176">
            <w:rPr>
              <w:rFonts w:asciiTheme="minorHAnsi" w:hAnsiTheme="minorHAnsi" w:cstheme="minorBidi"/>
              <w:sz w:val="24"/>
              <w:szCs w:val="24"/>
            </w:rPr>
            <w:t xml:space="preserve">MOSIP </w:t>
          </w:r>
          <w:r w:rsidR="00496E99" w:rsidRPr="004F6176">
            <w:rPr>
              <w:rFonts w:asciiTheme="minorHAnsi" w:hAnsiTheme="minorHAnsi" w:cstheme="minorBidi"/>
              <w:sz w:val="24"/>
              <w:szCs w:val="24"/>
            </w:rPr>
            <w:t xml:space="preserve">Architecture is defined in </w:t>
          </w:r>
          <w:r w:rsidR="00D322A1">
            <w:rPr>
              <w:rFonts w:asciiTheme="minorHAnsi" w:hAnsiTheme="minorHAnsi" w:cstheme="minorBidi"/>
              <w:sz w:val="24"/>
              <w:szCs w:val="24"/>
            </w:rPr>
            <w:t>five (5)</w:t>
          </w:r>
          <w:r w:rsidR="00496E99" w:rsidRPr="004F6176">
            <w:rPr>
              <w:rFonts w:asciiTheme="minorHAnsi" w:hAnsiTheme="minorHAnsi" w:cstheme="minorBidi"/>
              <w:sz w:val="24"/>
              <w:szCs w:val="24"/>
            </w:rPr>
            <w:t xml:space="preserve"> separate sections which</w:t>
          </w:r>
          <w:r w:rsidRPr="004F6176">
            <w:rPr>
              <w:rFonts w:asciiTheme="minorHAnsi" w:hAnsiTheme="minorHAnsi" w:cstheme="minorBidi"/>
              <w:sz w:val="24"/>
              <w:szCs w:val="24"/>
            </w:rPr>
            <w:t xml:space="preserve"> are</w:t>
          </w:r>
          <w:r w:rsidR="00496E99" w:rsidRPr="004F6176">
            <w:rPr>
              <w:rFonts w:asciiTheme="minorHAnsi" w:hAnsiTheme="minorHAnsi" w:cstheme="minorBidi"/>
              <w:sz w:val="24"/>
              <w:szCs w:val="24"/>
            </w:rPr>
            <w:t xml:space="preserve"> detailed in </w:t>
          </w:r>
          <w:r w:rsidR="00673EC5" w:rsidRPr="004F6176">
            <w:rPr>
              <w:rFonts w:asciiTheme="minorHAnsi" w:hAnsiTheme="minorHAnsi" w:cstheme="minorBidi"/>
              <w:sz w:val="24"/>
              <w:szCs w:val="24"/>
            </w:rPr>
            <w:t>GitHub</w:t>
          </w:r>
          <w:r w:rsidRPr="004F6176">
            <w:rPr>
              <w:rFonts w:asciiTheme="minorHAnsi" w:hAnsiTheme="minorHAnsi" w:cstheme="minorBidi"/>
              <w:sz w:val="24"/>
              <w:szCs w:val="24"/>
            </w:rPr>
            <w:t xml:space="preserve"> wiki. Click on each specific header name </w:t>
          </w:r>
          <w:r w:rsidR="00496E99" w:rsidRPr="004F6176">
            <w:rPr>
              <w:rFonts w:asciiTheme="minorHAnsi" w:hAnsiTheme="minorHAnsi" w:cstheme="minorBidi"/>
              <w:sz w:val="24"/>
              <w:szCs w:val="24"/>
            </w:rPr>
            <w:t>to navigate to wiki for further details</w:t>
          </w:r>
          <w:r w:rsidRPr="004F6176">
            <w:rPr>
              <w:rFonts w:asciiTheme="minorHAnsi" w:hAnsiTheme="minorHAnsi" w:cstheme="minorBidi"/>
              <w:sz w:val="24"/>
              <w:szCs w:val="24"/>
            </w:rPr>
            <w:t>.</w:t>
          </w:r>
        </w:p>
        <w:p w:rsidR="00460C47" w:rsidRDefault="00F2465D" w:rsidP="00B234E6">
          <w:pPr>
            <w:pStyle w:val="Heading31"/>
          </w:pPr>
          <w:hyperlink r:id="rId8" w:history="1">
            <w:r w:rsidR="00727AAB" w:rsidRPr="00727AAB">
              <w:rPr>
                <w:rStyle w:val="Hyperlink"/>
              </w:rPr>
              <w:t>Principles</w:t>
            </w:r>
          </w:hyperlink>
        </w:p>
        <w:p w:rsidR="00460C47" w:rsidRPr="00EE29D3" w:rsidRDefault="002375A9" w:rsidP="00EE29D3">
          <w:pPr>
            <w:ind w:left="1080"/>
            <w:rPr>
              <w:sz w:val="24"/>
              <w:szCs w:val="24"/>
            </w:rPr>
          </w:pPr>
          <w:r w:rsidRPr="00EE29D3">
            <w:rPr>
              <w:sz w:val="24"/>
              <w:szCs w:val="24"/>
            </w:rPr>
            <w:t xml:space="preserve">This section </w:t>
          </w:r>
          <w:r w:rsidR="000707D6" w:rsidRPr="00EE29D3">
            <w:rPr>
              <w:sz w:val="24"/>
              <w:szCs w:val="24"/>
            </w:rPr>
            <w:t>consists</w:t>
          </w:r>
          <w:r w:rsidRPr="00EE29D3">
            <w:rPr>
              <w:sz w:val="24"/>
              <w:szCs w:val="24"/>
            </w:rPr>
            <w:t xml:space="preserve"> of </w:t>
          </w:r>
          <w:r w:rsidR="00460C47" w:rsidRPr="00EE29D3">
            <w:rPr>
              <w:sz w:val="24"/>
              <w:szCs w:val="24"/>
            </w:rPr>
            <w:t xml:space="preserve">the foundational principles </w:t>
          </w:r>
          <w:r w:rsidRPr="00EE29D3">
            <w:rPr>
              <w:sz w:val="24"/>
              <w:szCs w:val="24"/>
            </w:rPr>
            <w:t xml:space="preserve">of MOSIP based </w:t>
          </w:r>
          <w:r w:rsidR="00460C47" w:rsidRPr="00EE29D3">
            <w:rPr>
              <w:sz w:val="24"/>
              <w:szCs w:val="24"/>
            </w:rPr>
            <w:t xml:space="preserve">on which the architecture </w:t>
          </w:r>
          <w:r w:rsidRPr="00EE29D3">
            <w:rPr>
              <w:sz w:val="24"/>
              <w:szCs w:val="24"/>
            </w:rPr>
            <w:t>is defined. The key principle</w:t>
          </w:r>
          <w:r w:rsidR="00275DFE">
            <w:rPr>
              <w:sz w:val="24"/>
              <w:szCs w:val="24"/>
            </w:rPr>
            <w:t>s</w:t>
          </w:r>
          <w:r w:rsidRPr="00EE29D3">
            <w:rPr>
              <w:sz w:val="24"/>
              <w:szCs w:val="24"/>
            </w:rPr>
            <w:t xml:space="preserve"> considered include: Open </w:t>
          </w:r>
          <w:r w:rsidR="00EE29D3" w:rsidRPr="00EE29D3">
            <w:rPr>
              <w:sz w:val="24"/>
              <w:szCs w:val="24"/>
            </w:rPr>
            <w:t xml:space="preserve">Source </w:t>
          </w:r>
          <w:r w:rsidRPr="00EE29D3">
            <w:rPr>
              <w:sz w:val="24"/>
              <w:szCs w:val="24"/>
            </w:rPr>
            <w:t>and Vendor Neutral, Adaptability, Securi</w:t>
          </w:r>
          <w:r w:rsidR="00275DFE">
            <w:rPr>
              <w:sz w:val="24"/>
              <w:szCs w:val="24"/>
            </w:rPr>
            <w:t>ty, Multi P</w:t>
          </w:r>
          <w:r w:rsidR="00EE29D3" w:rsidRPr="00EE29D3">
            <w:rPr>
              <w:sz w:val="24"/>
              <w:szCs w:val="24"/>
            </w:rPr>
            <w:t xml:space="preserve">arty, Authorization, </w:t>
          </w:r>
          <w:r w:rsidRPr="00EE29D3">
            <w:rPr>
              <w:sz w:val="24"/>
              <w:szCs w:val="24"/>
            </w:rPr>
            <w:t xml:space="preserve">Authentication, Multi </w:t>
          </w:r>
          <w:r w:rsidR="00EE29D3" w:rsidRPr="00EE29D3">
            <w:rPr>
              <w:sz w:val="24"/>
              <w:szCs w:val="24"/>
            </w:rPr>
            <w:t>Language Support</w:t>
          </w:r>
          <w:r w:rsidRPr="00EE29D3">
            <w:rPr>
              <w:sz w:val="24"/>
              <w:szCs w:val="24"/>
            </w:rPr>
            <w:t xml:space="preserve">, Performance and </w:t>
          </w:r>
          <w:r w:rsidR="00EE29D3" w:rsidRPr="00EE29D3">
            <w:rPr>
              <w:sz w:val="24"/>
              <w:szCs w:val="24"/>
            </w:rPr>
            <w:t>Scalability</w:t>
          </w:r>
          <w:r w:rsidRPr="00EE29D3">
            <w:rPr>
              <w:sz w:val="24"/>
              <w:szCs w:val="24"/>
            </w:rPr>
            <w:t>, High Availability, and Auditability.</w:t>
          </w:r>
        </w:p>
        <w:p w:rsidR="00A82EBA" w:rsidRDefault="00F2465D" w:rsidP="00B234E6">
          <w:pPr>
            <w:pStyle w:val="Heading31"/>
          </w:pPr>
          <w:hyperlink r:id="rId9" w:history="1">
            <w:r w:rsidR="00A82EBA" w:rsidRPr="002375A9">
              <w:rPr>
                <w:rStyle w:val="Hyperlink"/>
              </w:rPr>
              <w:t>Logical View</w:t>
            </w:r>
          </w:hyperlink>
        </w:p>
        <w:p w:rsidR="002375A9" w:rsidRDefault="002375A9" w:rsidP="0008033A">
          <w:pPr>
            <w:ind w:left="1080"/>
            <w:rPr>
              <w:sz w:val="24"/>
              <w:szCs w:val="24"/>
            </w:rPr>
          </w:pPr>
          <w:r w:rsidRPr="0008033A">
            <w:rPr>
              <w:sz w:val="24"/>
              <w:szCs w:val="24"/>
            </w:rPr>
            <w:t>This section details the key design aspect</w:t>
          </w:r>
          <w:r w:rsidR="00496E99" w:rsidRPr="0008033A">
            <w:rPr>
              <w:sz w:val="24"/>
              <w:szCs w:val="24"/>
            </w:rPr>
            <w:t>s</w:t>
          </w:r>
          <w:r w:rsidRPr="0008033A">
            <w:rPr>
              <w:sz w:val="24"/>
              <w:szCs w:val="24"/>
            </w:rPr>
            <w:t xml:space="preserve"> considered for</w:t>
          </w:r>
          <w:r w:rsidR="003668AF" w:rsidRPr="0008033A">
            <w:rPr>
              <w:sz w:val="24"/>
              <w:szCs w:val="24"/>
            </w:rPr>
            <w:t xml:space="preserve"> MOSIP. This includes Ecosystem </w:t>
          </w:r>
          <w:r w:rsidR="00292121" w:rsidRPr="0008033A">
            <w:rPr>
              <w:sz w:val="24"/>
              <w:szCs w:val="24"/>
            </w:rPr>
            <w:t>Approach</w:t>
          </w:r>
          <w:r w:rsidRPr="0008033A">
            <w:rPr>
              <w:sz w:val="24"/>
              <w:szCs w:val="24"/>
            </w:rPr>
            <w:t>, Configurability, Extensibility, Modularity, and Solution Principles.</w:t>
          </w:r>
        </w:p>
        <w:p w:rsidR="00A82EBA" w:rsidRDefault="00F2465D" w:rsidP="00B234E6">
          <w:pPr>
            <w:pStyle w:val="Heading31"/>
          </w:pPr>
          <w:hyperlink r:id="rId10" w:history="1">
            <w:r w:rsidR="00A82EBA" w:rsidRPr="00496E99">
              <w:rPr>
                <w:rStyle w:val="Hyperlink"/>
              </w:rPr>
              <w:t>Technology Stack</w:t>
            </w:r>
          </w:hyperlink>
        </w:p>
        <w:p w:rsidR="00496E99" w:rsidRPr="004F6176" w:rsidRDefault="00496E99" w:rsidP="00496E99">
          <w:pPr>
            <w:pStyle w:val="Heading11"/>
            <w:numPr>
              <w:ilvl w:val="0"/>
              <w:numId w:val="0"/>
            </w:numPr>
            <w:ind w:left="1080"/>
            <w:rPr>
              <w:rFonts w:cstheme="minorHAnsi"/>
              <w:b w:val="0"/>
              <w:szCs w:val="24"/>
            </w:rPr>
          </w:pPr>
          <w:r w:rsidRPr="004F6176">
            <w:rPr>
              <w:rFonts w:cstheme="minorHAnsi"/>
              <w:b w:val="0"/>
              <w:szCs w:val="24"/>
            </w:rPr>
            <w:t>This section lists all the technologies used in building MOSIP.</w:t>
          </w:r>
        </w:p>
        <w:p w:rsidR="00A82EBA" w:rsidRDefault="00F2465D" w:rsidP="00B234E6">
          <w:pPr>
            <w:pStyle w:val="Heading31"/>
          </w:pPr>
          <w:hyperlink r:id="rId11" w:history="1">
            <w:r w:rsidR="00A82EBA" w:rsidRPr="00496E99">
              <w:rPr>
                <w:rStyle w:val="Hyperlink"/>
              </w:rPr>
              <w:t>Process View</w:t>
            </w:r>
          </w:hyperlink>
        </w:p>
        <w:p w:rsidR="00496E99" w:rsidRPr="00496E99" w:rsidRDefault="00496E99" w:rsidP="00496E99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496E99">
            <w:rPr>
              <w:b w:val="0"/>
            </w:rPr>
            <w:t xml:space="preserve">This section provides a view </w:t>
          </w:r>
          <w:r>
            <w:rPr>
              <w:b w:val="0"/>
            </w:rPr>
            <w:t>i</w:t>
          </w:r>
          <w:r w:rsidR="00BD434A">
            <w:rPr>
              <w:b w:val="0"/>
            </w:rPr>
            <w:t>nto the functional processes</w:t>
          </w:r>
          <w:r>
            <w:rPr>
              <w:b w:val="0"/>
            </w:rPr>
            <w:t xml:space="preserve"> of</w:t>
          </w:r>
          <w:r w:rsidRPr="00496E99">
            <w:rPr>
              <w:b w:val="0"/>
            </w:rPr>
            <w:t xml:space="preserve"> </w:t>
          </w:r>
          <w:r w:rsidRPr="00496E99">
            <w:rPr>
              <w:b w:val="0"/>
              <w:i/>
            </w:rPr>
            <w:t>Pre-registration</w:t>
          </w:r>
          <w:r w:rsidRPr="00496E99">
            <w:rPr>
              <w:b w:val="0"/>
            </w:rPr>
            <w:t xml:space="preserve">, </w:t>
          </w:r>
          <w:r w:rsidRPr="00496E99">
            <w:rPr>
              <w:b w:val="0"/>
              <w:i/>
            </w:rPr>
            <w:t>Registration Client, Registration Processor</w:t>
          </w:r>
          <w:r w:rsidR="00292121">
            <w:rPr>
              <w:b w:val="0"/>
            </w:rPr>
            <w:t xml:space="preserve">, </w:t>
          </w:r>
          <w:r w:rsidRPr="00496E99">
            <w:rPr>
              <w:b w:val="0"/>
            </w:rPr>
            <w:t xml:space="preserve">and </w:t>
          </w:r>
          <w:r w:rsidRPr="00496E99">
            <w:rPr>
              <w:b w:val="0"/>
              <w:i/>
            </w:rPr>
            <w:t>ID Authentication</w:t>
          </w:r>
          <w:r w:rsidRPr="00496E99">
            <w:rPr>
              <w:b w:val="0"/>
            </w:rPr>
            <w:t>.</w:t>
          </w:r>
        </w:p>
        <w:p w:rsidR="00A82EBA" w:rsidRDefault="00F2465D" w:rsidP="00B234E6">
          <w:pPr>
            <w:pStyle w:val="Heading31"/>
          </w:pPr>
          <w:hyperlink r:id="rId12" w:history="1">
            <w:r w:rsidR="00A82EBA" w:rsidRPr="00BD434A">
              <w:rPr>
                <w:rStyle w:val="Hyperlink"/>
              </w:rPr>
              <w:t>Data Architecture</w:t>
            </w:r>
          </w:hyperlink>
        </w:p>
        <w:p w:rsidR="00496E99" w:rsidRPr="00BD434A" w:rsidRDefault="00496E99" w:rsidP="00496E99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BD434A">
            <w:rPr>
              <w:b w:val="0"/>
            </w:rPr>
            <w:t>This section details the data architectural principles</w:t>
          </w:r>
          <w:r w:rsidR="00BD434A" w:rsidRPr="00BD434A">
            <w:rPr>
              <w:b w:val="0"/>
            </w:rPr>
            <w:t xml:space="preserve"> of MOSIP which includes Security, Multi-Language, High Availability, Auditability, and High Pe</w:t>
          </w:r>
          <w:r w:rsidR="00275DFE">
            <w:rPr>
              <w:b w:val="0"/>
            </w:rPr>
            <w:t>rformance. It also details the Data Models and its N</w:t>
          </w:r>
          <w:r w:rsidR="00BD434A" w:rsidRPr="00BD434A">
            <w:rPr>
              <w:b w:val="0"/>
            </w:rPr>
            <w:t>aming</w:t>
          </w:r>
          <w:r w:rsidR="00275DFE">
            <w:rPr>
              <w:b w:val="0"/>
            </w:rPr>
            <w:t xml:space="preserve"> S</w:t>
          </w:r>
          <w:r w:rsidRPr="00BD434A">
            <w:rPr>
              <w:b w:val="0"/>
            </w:rPr>
            <w:t>tandards</w:t>
          </w:r>
          <w:r w:rsidR="00BD434A" w:rsidRPr="00BD434A">
            <w:rPr>
              <w:b w:val="0"/>
            </w:rPr>
            <w:t>.</w:t>
          </w:r>
        </w:p>
        <w:p w:rsidR="00A82EBA" w:rsidRDefault="00A82EBA" w:rsidP="00A82EBA">
          <w:pPr>
            <w:pStyle w:val="Heading1"/>
          </w:pPr>
          <w:r>
            <w:t>Design</w:t>
          </w:r>
        </w:p>
        <w:p w:rsidR="00BD434A" w:rsidRPr="00275DFE" w:rsidRDefault="00BD434A" w:rsidP="00BD434A">
          <w:pPr>
            <w:rPr>
              <w:i/>
              <w:sz w:val="24"/>
              <w:szCs w:val="24"/>
            </w:rPr>
          </w:pPr>
          <w:r w:rsidRPr="003668AF">
            <w:rPr>
              <w:sz w:val="24"/>
              <w:szCs w:val="24"/>
            </w:rPr>
            <w:t xml:space="preserve">The design section is broadly classified </w:t>
          </w:r>
          <w:r w:rsidR="004F6176" w:rsidRPr="003668AF">
            <w:rPr>
              <w:sz w:val="24"/>
              <w:szCs w:val="24"/>
            </w:rPr>
            <w:t xml:space="preserve">to two </w:t>
          </w:r>
          <w:r w:rsidR="00292121">
            <w:rPr>
              <w:sz w:val="24"/>
              <w:szCs w:val="24"/>
            </w:rPr>
            <w:t xml:space="preserve">(2) </w:t>
          </w:r>
          <w:r w:rsidR="004F6176" w:rsidRPr="003668AF">
            <w:rPr>
              <w:sz w:val="24"/>
              <w:szCs w:val="24"/>
            </w:rPr>
            <w:t>section</w:t>
          </w:r>
          <w:r w:rsidR="00275DFE">
            <w:rPr>
              <w:sz w:val="24"/>
              <w:szCs w:val="24"/>
            </w:rPr>
            <w:t xml:space="preserve">s: </w:t>
          </w:r>
          <w:r w:rsidR="004F6176" w:rsidRPr="00275DFE">
            <w:rPr>
              <w:i/>
              <w:sz w:val="24"/>
              <w:szCs w:val="24"/>
            </w:rPr>
            <w:t>Functional</w:t>
          </w:r>
          <w:r w:rsidR="004F6176" w:rsidRPr="003668AF">
            <w:rPr>
              <w:sz w:val="24"/>
              <w:szCs w:val="24"/>
            </w:rPr>
            <w:t xml:space="preserve"> and </w:t>
          </w:r>
          <w:r w:rsidR="00EE0B41" w:rsidRPr="00275DFE">
            <w:rPr>
              <w:i/>
              <w:sz w:val="24"/>
              <w:szCs w:val="24"/>
            </w:rPr>
            <w:t>A</w:t>
          </w:r>
          <w:r w:rsidR="004F6176" w:rsidRPr="00275DFE">
            <w:rPr>
              <w:i/>
              <w:sz w:val="24"/>
              <w:szCs w:val="24"/>
            </w:rPr>
            <w:t xml:space="preserve">rchitecturally </w:t>
          </w:r>
          <w:r w:rsidR="00EE0B41" w:rsidRPr="00275DFE">
            <w:rPr>
              <w:i/>
              <w:sz w:val="24"/>
              <w:szCs w:val="24"/>
            </w:rPr>
            <w:t>Significant C</w:t>
          </w:r>
          <w:r w:rsidR="004F6176" w:rsidRPr="00275DFE">
            <w:rPr>
              <w:i/>
              <w:sz w:val="24"/>
              <w:szCs w:val="24"/>
            </w:rPr>
            <w:t>omponents</w:t>
          </w:r>
          <w:r w:rsidR="002D1F29" w:rsidRPr="00275DFE">
            <w:rPr>
              <w:i/>
              <w:sz w:val="24"/>
              <w:szCs w:val="24"/>
            </w:rPr>
            <w:t xml:space="preserve">. </w:t>
          </w:r>
        </w:p>
        <w:p w:rsidR="004F6176" w:rsidRPr="003668AF" w:rsidRDefault="004F6176" w:rsidP="003668AF">
          <w:pPr>
            <w:pStyle w:val="Heading41"/>
          </w:pPr>
          <w:r w:rsidRPr="003668AF">
            <w:t>Functional:</w:t>
          </w:r>
        </w:p>
        <w:p w:rsidR="004F6176" w:rsidRPr="000707D6" w:rsidRDefault="004F6176" w:rsidP="000707D6">
          <w:pPr>
            <w:pStyle w:val="ListParagraph"/>
            <w:ind w:left="360"/>
            <w:rPr>
              <w:sz w:val="24"/>
              <w:szCs w:val="24"/>
            </w:rPr>
          </w:pPr>
          <w:r w:rsidRPr="006571A2">
            <w:rPr>
              <w:sz w:val="24"/>
              <w:szCs w:val="24"/>
            </w:rPr>
            <w:t xml:space="preserve">This section details the design aspects of MOSIP, driven by the </w:t>
          </w:r>
          <w:r w:rsidR="00292121">
            <w:rPr>
              <w:sz w:val="24"/>
              <w:szCs w:val="24"/>
            </w:rPr>
            <w:t>four (</w:t>
          </w:r>
          <w:r w:rsidRPr="006571A2">
            <w:rPr>
              <w:sz w:val="24"/>
              <w:szCs w:val="24"/>
            </w:rPr>
            <w:t>4</w:t>
          </w:r>
          <w:r w:rsidR="00292121">
            <w:rPr>
              <w:sz w:val="24"/>
              <w:szCs w:val="24"/>
            </w:rPr>
            <w:t>)</w:t>
          </w:r>
          <w:r w:rsidRPr="006571A2">
            <w:rPr>
              <w:sz w:val="24"/>
              <w:szCs w:val="24"/>
            </w:rPr>
            <w:t xml:space="preserve"> key functional modules</w:t>
          </w:r>
          <w:r w:rsidR="002D1F29" w:rsidRPr="006571A2">
            <w:rPr>
              <w:sz w:val="24"/>
              <w:szCs w:val="24"/>
            </w:rPr>
            <w:t xml:space="preserve"> as listed below. </w:t>
          </w:r>
          <w:r w:rsidR="002D1F29" w:rsidRPr="000707D6">
            <w:rPr>
              <w:sz w:val="24"/>
              <w:szCs w:val="24"/>
            </w:rPr>
            <w:t>Click on each specific header name to navigate to wiki for further details.</w:t>
          </w:r>
        </w:p>
        <w:p w:rsidR="004F6176" w:rsidRPr="00376E3B" w:rsidRDefault="00F2465D" w:rsidP="003668AF">
          <w:pPr>
            <w:pStyle w:val="Heading411"/>
            <w:rPr>
              <w:sz w:val="25"/>
              <w:szCs w:val="25"/>
            </w:rPr>
          </w:pPr>
          <w:hyperlink r:id="rId13" w:history="1">
            <w:r w:rsidR="004F6176" w:rsidRPr="00376E3B">
              <w:rPr>
                <w:rStyle w:val="Hyperlink"/>
                <w:sz w:val="25"/>
                <w:szCs w:val="25"/>
              </w:rPr>
              <w:t>Pre-Registration</w:t>
            </w:r>
          </w:hyperlink>
        </w:p>
        <w:p w:rsidR="004F6176" w:rsidRPr="006571A2" w:rsidRDefault="004F6176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Pre-registration is the module which is the web channel of MOSIP</w:t>
          </w:r>
          <w:r w:rsidR="00275DFE">
            <w:rPr>
              <w:b w:val="0"/>
            </w:rPr>
            <w:t xml:space="preserve"> for pre-registering an applicant prior to Registration</w:t>
          </w:r>
          <w:r w:rsidRPr="006571A2">
            <w:rPr>
              <w:b w:val="0"/>
            </w:rPr>
            <w:t xml:space="preserve">. This section elaborates on the key </w:t>
          </w:r>
          <w:r w:rsidR="002D1F29" w:rsidRPr="006571A2">
            <w:rPr>
              <w:b w:val="0"/>
            </w:rPr>
            <w:t>design considerations for Pre-registration which include micro-</w:t>
          </w:r>
          <w:proofErr w:type="gramStart"/>
          <w:r w:rsidR="002D1F29" w:rsidRPr="006571A2">
            <w:rPr>
              <w:b w:val="0"/>
            </w:rPr>
            <w:t>service based</w:t>
          </w:r>
          <w:proofErr w:type="gramEnd"/>
          <w:r w:rsidR="002D1F29" w:rsidRPr="006571A2">
            <w:rPr>
              <w:b w:val="0"/>
            </w:rPr>
            <w:t xml:space="preserve"> architecture, Data validation as executed in UI, key design patterns like aggregate service pa</w:t>
          </w:r>
          <w:r w:rsidR="00407A89">
            <w:rPr>
              <w:b w:val="0"/>
            </w:rPr>
            <w:t>t</w:t>
          </w:r>
          <w:r w:rsidR="002D1F29" w:rsidRPr="006571A2">
            <w:rPr>
              <w:b w:val="0"/>
            </w:rPr>
            <w:t>tern and proxy design pattern. It also elaborates on the archit</w:t>
          </w:r>
          <w:r w:rsidR="00D96ED7">
            <w:rPr>
              <w:b w:val="0"/>
            </w:rPr>
            <w:t>ecturally significant use cases</w:t>
          </w:r>
          <w:r w:rsidR="00275DFE">
            <w:rPr>
              <w:b w:val="0"/>
            </w:rPr>
            <w:t>, the</w:t>
          </w:r>
          <w:r w:rsidR="002D1F29" w:rsidRPr="006571A2">
            <w:rPr>
              <w:b w:val="0"/>
            </w:rPr>
            <w:t xml:space="preserve"> Process View and Conceptual View.</w:t>
          </w:r>
        </w:p>
        <w:p w:rsidR="003668AF" w:rsidRPr="00376E3B" w:rsidRDefault="00F2465D" w:rsidP="003668AF">
          <w:pPr>
            <w:pStyle w:val="Heading411"/>
            <w:rPr>
              <w:sz w:val="25"/>
              <w:szCs w:val="25"/>
            </w:rPr>
          </w:pPr>
          <w:hyperlink r:id="rId14" w:history="1">
            <w:r w:rsidR="004F6176" w:rsidRPr="00376E3B">
              <w:rPr>
                <w:rStyle w:val="Hyperlink"/>
                <w:sz w:val="25"/>
                <w:szCs w:val="25"/>
              </w:rPr>
              <w:t>Registration Client</w:t>
            </w:r>
          </w:hyperlink>
        </w:p>
        <w:p w:rsidR="004F6176" w:rsidRPr="006571A2" w:rsidRDefault="002D1F2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 xml:space="preserve">Registration Client application captures the Demographic and Biometric details of an Individual along with supporting information (proof documents &amp; information about </w:t>
          </w:r>
          <w:r w:rsidR="00407A89">
            <w:rPr>
              <w:b w:val="0"/>
            </w:rPr>
            <w:t xml:space="preserve">a </w:t>
          </w:r>
          <w:r w:rsidRPr="006571A2">
            <w:rPr>
              <w:b w:val="0"/>
            </w:rPr>
            <w:t>parent/guardian/introducer) and packages the information in a secure way. This section</w:t>
          </w:r>
          <w:r w:rsidR="00292121">
            <w:rPr>
              <w:b w:val="0"/>
            </w:rPr>
            <w:t xml:space="preserve"> </w:t>
          </w:r>
          <w:r w:rsidRPr="006571A2">
            <w:rPr>
              <w:b w:val="0"/>
            </w:rPr>
            <w:t xml:space="preserve">provides details on the architecturally significant use cases of Registration Client, which include the </w:t>
          </w:r>
          <w:r w:rsidR="00587496" w:rsidRPr="006571A2">
            <w:rPr>
              <w:b w:val="0"/>
            </w:rPr>
            <w:t xml:space="preserve">ability to adhere to industry standards, facilitate secure data transmission, </w:t>
          </w:r>
          <w:r w:rsidRPr="006571A2">
            <w:rPr>
              <w:b w:val="0"/>
            </w:rPr>
            <w:t>Process View and Logical View</w:t>
          </w:r>
          <w:r w:rsidR="00587496" w:rsidRPr="006571A2">
            <w:rPr>
              <w:b w:val="0"/>
            </w:rPr>
            <w:t>, to name a few</w:t>
          </w:r>
          <w:r w:rsidRPr="006571A2">
            <w:rPr>
              <w:b w:val="0"/>
            </w:rPr>
            <w:t>.</w:t>
          </w:r>
        </w:p>
        <w:p w:rsidR="003668AF" w:rsidRPr="00376E3B" w:rsidRDefault="00F2465D" w:rsidP="003668AF">
          <w:pPr>
            <w:pStyle w:val="Heading411"/>
            <w:rPr>
              <w:sz w:val="25"/>
              <w:szCs w:val="25"/>
            </w:rPr>
          </w:pPr>
          <w:hyperlink r:id="rId15" w:history="1">
            <w:r w:rsidR="004F6176" w:rsidRPr="00376E3B">
              <w:rPr>
                <w:rStyle w:val="Hyperlink"/>
                <w:sz w:val="25"/>
                <w:szCs w:val="25"/>
              </w:rPr>
              <w:t>Registration Processor</w:t>
            </w:r>
          </w:hyperlink>
        </w:p>
        <w:p w:rsidR="004F6176" w:rsidRPr="006571A2" w:rsidRDefault="002D1F2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Registration Processor processes the data (</w:t>
          </w:r>
          <w:r w:rsidR="00182366">
            <w:rPr>
              <w:b w:val="0"/>
            </w:rPr>
            <w:t>D</w:t>
          </w:r>
          <w:r w:rsidRPr="006571A2">
            <w:rPr>
              <w:b w:val="0"/>
            </w:rPr>
            <w:t xml:space="preserve">emographic and </w:t>
          </w:r>
          <w:r w:rsidR="00182366">
            <w:rPr>
              <w:b w:val="0"/>
            </w:rPr>
            <w:t>B</w:t>
          </w:r>
          <w:r w:rsidRPr="006571A2">
            <w:rPr>
              <w:b w:val="0"/>
            </w:rPr>
            <w:t xml:space="preserve">iometric) of an Individual for quality and uniqueness and then issues a Unique Identification Number (UIN). </w:t>
          </w:r>
          <w:r w:rsidR="00580FB3" w:rsidRPr="006571A2">
            <w:rPr>
              <w:b w:val="0"/>
            </w:rPr>
            <w:t xml:space="preserve">This section elucidates </w:t>
          </w:r>
          <w:r w:rsidRPr="006571A2">
            <w:rPr>
              <w:b w:val="0"/>
            </w:rPr>
            <w:t xml:space="preserve">the architecturally significant use cases of Registration Processor, which include </w:t>
          </w:r>
          <w:r w:rsidR="00587496" w:rsidRPr="006571A2">
            <w:rPr>
              <w:b w:val="0"/>
            </w:rPr>
            <w:t xml:space="preserve">ability to be scalable, facilitate integration, look-up of </w:t>
          </w:r>
          <w:r w:rsidRPr="006571A2">
            <w:rPr>
              <w:b w:val="0"/>
            </w:rPr>
            <w:t>the Process View and Logical View</w:t>
          </w:r>
          <w:r w:rsidR="00587496" w:rsidRPr="006571A2">
            <w:rPr>
              <w:b w:val="0"/>
            </w:rPr>
            <w:t>, to name a few.</w:t>
          </w:r>
        </w:p>
        <w:p w:rsidR="00FE4B68" w:rsidRDefault="00FE4B68">
          <w:pPr>
            <w:rPr>
              <w:rStyle w:val="Hyperlink"/>
              <w:b/>
              <w:sz w:val="25"/>
              <w:szCs w:val="25"/>
            </w:rPr>
          </w:pPr>
          <w:r>
            <w:rPr>
              <w:rStyle w:val="Hyperlink"/>
              <w:sz w:val="25"/>
              <w:szCs w:val="25"/>
            </w:rPr>
            <w:br w:type="page"/>
          </w:r>
        </w:p>
        <w:p w:rsidR="003668AF" w:rsidRPr="00376E3B" w:rsidRDefault="00F2465D" w:rsidP="003668AF">
          <w:pPr>
            <w:pStyle w:val="Heading411"/>
            <w:rPr>
              <w:sz w:val="25"/>
              <w:szCs w:val="25"/>
            </w:rPr>
          </w:pPr>
          <w:hyperlink r:id="rId16" w:history="1">
            <w:r w:rsidR="004F6176" w:rsidRPr="00376E3B">
              <w:rPr>
                <w:rStyle w:val="Hyperlink"/>
                <w:sz w:val="25"/>
                <w:szCs w:val="25"/>
              </w:rPr>
              <w:t>ID Authentication</w:t>
            </w:r>
          </w:hyperlink>
        </w:p>
        <w:p w:rsidR="0074034E" w:rsidRPr="006571A2" w:rsidRDefault="002D1F2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MOSIP ID Authentication provides an API based authentication mechanism for entities to validate Individuals. This section provides details on the architecturally significant use cases of ID-Authentication, which include specifics on API standards, the Process View and Logical View</w:t>
          </w:r>
          <w:r w:rsidR="00587496" w:rsidRPr="006571A2">
            <w:rPr>
              <w:b w:val="0"/>
            </w:rPr>
            <w:t>, to list a few.</w:t>
          </w:r>
        </w:p>
        <w:p w:rsidR="0074034E" w:rsidRPr="00376E3B" w:rsidRDefault="00F2465D" w:rsidP="003668AF">
          <w:pPr>
            <w:pStyle w:val="Heading411"/>
            <w:rPr>
              <w:sz w:val="25"/>
              <w:szCs w:val="25"/>
            </w:rPr>
          </w:pPr>
          <w:hyperlink r:id="rId17" w:history="1">
            <w:r w:rsidR="0074034E" w:rsidRPr="00376E3B">
              <w:rPr>
                <w:rStyle w:val="Hyperlink"/>
                <w:sz w:val="25"/>
                <w:szCs w:val="25"/>
              </w:rPr>
              <w:t>Kernel</w:t>
            </w:r>
          </w:hyperlink>
        </w:p>
        <w:p w:rsidR="006571A2" w:rsidRPr="006571A2" w:rsidRDefault="0074034E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Kernel is a platform to build higher-level services as well as a secure sandbox. This section provides details on the active framework of MOSIP, its structure &amp; rules within which the higher-level services operate</w:t>
          </w:r>
          <w:r w:rsidR="00275DFE">
            <w:rPr>
              <w:b w:val="0"/>
            </w:rPr>
            <w:t xml:space="preserve"> and </w:t>
          </w:r>
          <w:r w:rsidRPr="006571A2">
            <w:rPr>
              <w:b w:val="0"/>
            </w:rPr>
            <w:t>the architecturally significant use cases.</w:t>
          </w:r>
        </w:p>
        <w:p w:rsidR="004F6176" w:rsidRPr="003668AF" w:rsidRDefault="004F6176" w:rsidP="003668AF">
          <w:pPr>
            <w:pStyle w:val="Heading41"/>
          </w:pPr>
          <w:r w:rsidRPr="003668AF">
            <w:t>Architecturally Significant Components</w:t>
          </w:r>
          <w:r w:rsidR="000707D6">
            <w:t>: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18" w:history="1">
            <w:r w:rsidR="00A82EBA" w:rsidRPr="00376E3B">
              <w:rPr>
                <w:rStyle w:val="Hyperlink"/>
                <w:sz w:val="25"/>
                <w:szCs w:val="25"/>
              </w:rPr>
              <w:t>ID Object Definition</w:t>
            </w:r>
          </w:hyperlink>
        </w:p>
        <w:p w:rsidR="00A82EBA" w:rsidRPr="006571A2" w:rsidRDefault="00866DB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 xml:space="preserve">ID definition describes the attributes </w:t>
          </w:r>
          <w:r w:rsidR="00275DFE">
            <w:rPr>
              <w:b w:val="0"/>
            </w:rPr>
            <w:t xml:space="preserve">that </w:t>
          </w:r>
          <w:r w:rsidRPr="006571A2">
            <w:rPr>
              <w:b w:val="0"/>
            </w:rPr>
            <w:t xml:space="preserve">a Country or entity intends to capture from an Individual, which will formulate the definition of ID for a Country. This </w:t>
          </w:r>
          <w:r w:rsidR="00580FB3" w:rsidRPr="006571A2">
            <w:rPr>
              <w:b w:val="0"/>
            </w:rPr>
            <w:t xml:space="preserve">section elaborates </w:t>
          </w:r>
          <w:r w:rsidR="006571A2">
            <w:rPr>
              <w:b w:val="0"/>
            </w:rPr>
            <w:t>on the mechanism</w:t>
          </w:r>
          <w:r w:rsidRPr="006571A2">
            <w:rPr>
              <w:b w:val="0"/>
            </w:rPr>
            <w:t xml:space="preserve"> MOSIP </w:t>
          </w:r>
          <w:r w:rsidR="00673EC5">
            <w:rPr>
              <w:b w:val="0"/>
            </w:rPr>
            <w:t xml:space="preserve">adopts, </w:t>
          </w:r>
          <w:proofErr w:type="gramStart"/>
          <w:r w:rsidR="00673EC5">
            <w:rPr>
              <w:b w:val="0"/>
            </w:rPr>
            <w:t>in order to</w:t>
          </w:r>
          <w:proofErr w:type="gramEnd"/>
          <w:r w:rsidR="00673EC5">
            <w:rPr>
              <w:b w:val="0"/>
            </w:rPr>
            <w:t xml:space="preserve"> provide the</w:t>
          </w:r>
          <w:r w:rsidRPr="006571A2">
            <w:rPr>
              <w:b w:val="0"/>
            </w:rPr>
            <w:t xml:space="preserve"> flexibility for each Country to define its preferred ID definition </w:t>
          </w:r>
          <w:r w:rsidR="00275DFE">
            <w:rPr>
              <w:b w:val="0"/>
            </w:rPr>
            <w:t>through an</w:t>
          </w:r>
          <w:r w:rsidRPr="006571A2">
            <w:rPr>
              <w:b w:val="0"/>
            </w:rPr>
            <w:t xml:space="preserve"> ID object definition schema.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19" w:history="1">
            <w:r w:rsidR="00A82EBA" w:rsidRPr="0009434D">
              <w:rPr>
                <w:rStyle w:val="Hyperlink"/>
                <w:sz w:val="25"/>
                <w:szCs w:val="25"/>
              </w:rPr>
              <w:t>MOSIP Configuration</w:t>
            </w:r>
          </w:hyperlink>
        </w:p>
        <w:p w:rsidR="006571A2" w:rsidRPr="006571A2" w:rsidRDefault="00866DB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MOSIP as a platform will have multiple applications running and each application wil</w:t>
          </w:r>
          <w:r w:rsidR="006571A2" w:rsidRPr="006571A2">
            <w:rPr>
              <w:b w:val="0"/>
            </w:rPr>
            <w:t>l have a set of configurations.</w:t>
          </w:r>
        </w:p>
        <w:p w:rsidR="006571A2" w:rsidRPr="006571A2" w:rsidRDefault="00866DB9" w:rsidP="006571A2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>This section details:</w:t>
          </w:r>
        </w:p>
        <w:p w:rsidR="006571A2" w:rsidRPr="006571A2" w:rsidRDefault="00866DB9" w:rsidP="006571A2">
          <w:pPr>
            <w:pStyle w:val="Heading11"/>
            <w:numPr>
              <w:ilvl w:val="0"/>
              <w:numId w:val="39"/>
            </w:numPr>
            <w:rPr>
              <w:b w:val="0"/>
            </w:rPr>
          </w:pPr>
          <w:r w:rsidRPr="006571A2">
            <w:rPr>
              <w:b w:val="0"/>
            </w:rPr>
            <w:t xml:space="preserve">The key configuration files </w:t>
          </w:r>
          <w:r w:rsidR="00275DFE">
            <w:rPr>
              <w:b w:val="0"/>
            </w:rPr>
            <w:t xml:space="preserve">that </w:t>
          </w:r>
          <w:r w:rsidRPr="006571A2">
            <w:rPr>
              <w:b w:val="0"/>
            </w:rPr>
            <w:t>a system owner</w:t>
          </w:r>
          <w:r w:rsidR="00182366">
            <w:rPr>
              <w:b w:val="0"/>
            </w:rPr>
            <w:t xml:space="preserve"> </w:t>
          </w:r>
          <w:proofErr w:type="gramStart"/>
          <w:r w:rsidRPr="006571A2">
            <w:rPr>
              <w:b w:val="0"/>
            </w:rPr>
            <w:t>has to</w:t>
          </w:r>
          <w:proofErr w:type="gramEnd"/>
          <w:r w:rsidRPr="006571A2">
            <w:rPr>
              <w:b w:val="0"/>
            </w:rPr>
            <w:t xml:space="preserve"> create before starting the platform</w:t>
          </w:r>
          <w:r w:rsidR="00275DFE">
            <w:rPr>
              <w:b w:val="0"/>
            </w:rPr>
            <w:t xml:space="preserve"> – W</w:t>
          </w:r>
          <w:r w:rsidR="0074034E" w:rsidRPr="006571A2">
            <w:rPr>
              <w:b w:val="0"/>
            </w:rPr>
            <w:t>ith a centralized Config Server</w:t>
          </w:r>
          <w:r w:rsidR="006571A2">
            <w:rPr>
              <w:b w:val="0"/>
            </w:rPr>
            <w:t>.</w:t>
          </w:r>
        </w:p>
        <w:p w:rsidR="00866DB9" w:rsidRPr="006571A2" w:rsidRDefault="00866DB9" w:rsidP="006571A2">
          <w:pPr>
            <w:pStyle w:val="Heading11"/>
            <w:numPr>
              <w:ilvl w:val="0"/>
              <w:numId w:val="39"/>
            </w:numPr>
            <w:rPr>
              <w:b w:val="0"/>
            </w:rPr>
          </w:pPr>
          <w:r w:rsidRPr="006571A2">
            <w:rPr>
              <w:b w:val="0"/>
            </w:rPr>
            <w:t>Launcher component which will read the configuration files, validate and launch the platform</w:t>
          </w:r>
          <w:r w:rsidR="006571A2">
            <w:rPr>
              <w:b w:val="0"/>
            </w:rPr>
            <w:t>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0" w:history="1">
            <w:r w:rsidR="00A82EBA" w:rsidRPr="0009434D">
              <w:rPr>
                <w:rStyle w:val="Hyperlink"/>
                <w:sz w:val="25"/>
                <w:szCs w:val="25"/>
              </w:rPr>
              <w:t>Registration Packet Structure</w:t>
            </w:r>
          </w:hyperlink>
        </w:p>
        <w:p w:rsidR="00A82EBA" w:rsidRPr="00673EC5" w:rsidRDefault="0074034E" w:rsidP="00673EC5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571A2">
            <w:rPr>
              <w:b w:val="0"/>
            </w:rPr>
            <w:t xml:space="preserve">This section illustrates the packet creation flow along with the encryption process, as part of </w:t>
          </w:r>
          <w:r w:rsidR="00580FB3" w:rsidRPr="006571A2">
            <w:rPr>
              <w:b w:val="0"/>
            </w:rPr>
            <w:t>R</w:t>
          </w:r>
          <w:r w:rsidRPr="006571A2">
            <w:rPr>
              <w:b w:val="0"/>
            </w:rPr>
            <w:t>egistration Client</w:t>
          </w:r>
          <w:r w:rsidRPr="00673EC5">
            <w:rPr>
              <w:b w:val="0"/>
            </w:rPr>
            <w:t>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1" w:history="1">
            <w:r w:rsidR="00A82EBA" w:rsidRPr="0009434D">
              <w:rPr>
                <w:rStyle w:val="Hyperlink"/>
                <w:sz w:val="25"/>
                <w:szCs w:val="25"/>
              </w:rPr>
              <w:t>MOSIP ABIS Middleware</w:t>
            </w:r>
          </w:hyperlink>
        </w:p>
        <w:p w:rsidR="00A82EBA" w:rsidRPr="00673EC5" w:rsidRDefault="0074034E" w:rsidP="00673EC5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73EC5">
            <w:rPr>
              <w:b w:val="0"/>
            </w:rPr>
            <w:t xml:space="preserve">This section </w:t>
          </w:r>
          <w:r w:rsidR="00580FB3" w:rsidRPr="00673EC5">
            <w:rPr>
              <w:b w:val="0"/>
            </w:rPr>
            <w:t xml:space="preserve">provides details on the ability of MOSIP to support </w:t>
          </w:r>
          <w:r w:rsidR="00275DFE">
            <w:rPr>
              <w:b w:val="0"/>
            </w:rPr>
            <w:t>a single or multi-ABIS solution. It also provides</w:t>
          </w:r>
          <w:r w:rsidR="00580FB3" w:rsidRPr="00673EC5">
            <w:rPr>
              <w:b w:val="0"/>
            </w:rPr>
            <w:t xml:space="preserve"> specifics o</w:t>
          </w:r>
          <w:r w:rsidR="00B84783" w:rsidRPr="00673EC5">
            <w:rPr>
              <w:b w:val="0"/>
            </w:rPr>
            <w:t>n the C</w:t>
          </w:r>
          <w:r w:rsidR="00580FB3" w:rsidRPr="00673EC5">
            <w:rPr>
              <w:b w:val="0"/>
            </w:rPr>
            <w:t xml:space="preserve">omponents </w:t>
          </w:r>
          <w:r w:rsidR="00881974" w:rsidRPr="00673EC5">
            <w:rPr>
              <w:b w:val="0"/>
            </w:rPr>
            <w:t>&amp;</w:t>
          </w:r>
          <w:r w:rsidR="00580FB3" w:rsidRPr="00673EC5">
            <w:rPr>
              <w:b w:val="0"/>
            </w:rPr>
            <w:t xml:space="preserve"> APIs of ABIS </w:t>
          </w:r>
          <w:r w:rsidR="00881974" w:rsidRPr="00673EC5">
            <w:rPr>
              <w:b w:val="0"/>
            </w:rPr>
            <w:t>M</w:t>
          </w:r>
          <w:r w:rsidR="00580FB3" w:rsidRPr="00673EC5">
            <w:rPr>
              <w:b w:val="0"/>
            </w:rPr>
            <w:t xml:space="preserve">iddleware, </w:t>
          </w:r>
          <w:r w:rsidR="00B84783" w:rsidRPr="00673EC5">
            <w:rPr>
              <w:b w:val="0"/>
            </w:rPr>
            <w:t>S</w:t>
          </w:r>
          <w:r w:rsidR="00580FB3" w:rsidRPr="00673EC5">
            <w:rPr>
              <w:b w:val="0"/>
            </w:rPr>
            <w:t xml:space="preserve">trategies for Biometric </w:t>
          </w:r>
          <w:r w:rsidR="00B002D4" w:rsidRPr="00673EC5">
            <w:rPr>
              <w:b w:val="0"/>
            </w:rPr>
            <w:t xml:space="preserve">Data Management </w:t>
          </w:r>
          <w:r w:rsidR="00580FB3" w:rsidRPr="00673EC5">
            <w:rPr>
              <w:b w:val="0"/>
            </w:rPr>
            <w:t xml:space="preserve">in ABIS and </w:t>
          </w:r>
          <w:r w:rsidR="00B84783" w:rsidRPr="00673EC5">
            <w:rPr>
              <w:b w:val="0"/>
            </w:rPr>
            <w:t>S</w:t>
          </w:r>
          <w:r w:rsidR="00580FB3" w:rsidRPr="00673EC5">
            <w:rPr>
              <w:b w:val="0"/>
            </w:rPr>
            <w:t>trategies for de</w:t>
          </w:r>
          <w:r w:rsidR="0009434D">
            <w:rPr>
              <w:b w:val="0"/>
            </w:rPr>
            <w:t>-</w:t>
          </w:r>
          <w:r w:rsidR="00580FB3" w:rsidRPr="00673EC5">
            <w:rPr>
              <w:b w:val="0"/>
            </w:rPr>
            <w:t>duplication in case of multiple ABIS systems</w:t>
          </w:r>
          <w:r w:rsidR="00881974" w:rsidRPr="00673EC5">
            <w:rPr>
              <w:b w:val="0"/>
            </w:rPr>
            <w:t>.</w:t>
          </w:r>
        </w:p>
        <w:p w:rsidR="00FE4B68" w:rsidRDefault="00FE4B68">
          <w:pPr>
            <w:rPr>
              <w:rStyle w:val="Hyperlink"/>
              <w:rFonts w:cs="Segoe UI"/>
              <w:b/>
              <w:sz w:val="25"/>
              <w:szCs w:val="25"/>
            </w:rPr>
          </w:pPr>
          <w:r>
            <w:rPr>
              <w:rStyle w:val="Hyperlink"/>
              <w:sz w:val="25"/>
              <w:szCs w:val="25"/>
            </w:rPr>
            <w:br w:type="page"/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2" w:history="1">
            <w:r w:rsidR="00A82EBA" w:rsidRPr="0009434D">
              <w:rPr>
                <w:rStyle w:val="Hyperlink"/>
                <w:sz w:val="25"/>
                <w:szCs w:val="25"/>
              </w:rPr>
              <w:t>ABIS Interface Spec</w:t>
            </w:r>
          </w:hyperlink>
        </w:p>
        <w:p w:rsidR="00A82EBA" w:rsidRPr="00673EC5" w:rsidRDefault="0009434D" w:rsidP="00673EC5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>
            <w:rPr>
              <w:b w:val="0"/>
            </w:rPr>
            <w:t xml:space="preserve">This section </w:t>
          </w:r>
          <w:r w:rsidR="00881974" w:rsidRPr="00673EC5">
            <w:rPr>
              <w:b w:val="0"/>
            </w:rPr>
            <w:t>provide</w:t>
          </w:r>
          <w:r>
            <w:rPr>
              <w:b w:val="0"/>
            </w:rPr>
            <w:t>s</w:t>
          </w:r>
          <w:r w:rsidR="00881974" w:rsidRPr="00673EC5">
            <w:rPr>
              <w:b w:val="0"/>
            </w:rPr>
            <w:t xml:space="preserve"> the specifications </w:t>
          </w:r>
          <w:r>
            <w:rPr>
              <w:b w:val="0"/>
            </w:rPr>
            <w:t xml:space="preserve">that </w:t>
          </w:r>
          <w:r w:rsidR="00881974" w:rsidRPr="00673EC5">
            <w:rPr>
              <w:b w:val="0"/>
            </w:rPr>
            <w:t>an ABIS provider must implement to meet MOSIP's requirements</w:t>
          </w:r>
          <w:r>
            <w:rPr>
              <w:b w:val="0"/>
            </w:rPr>
            <w:t>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3" w:history="1">
            <w:r w:rsidR="0009434D" w:rsidRPr="0009434D">
              <w:rPr>
                <w:rStyle w:val="Hyperlink"/>
                <w:sz w:val="25"/>
                <w:szCs w:val="25"/>
              </w:rPr>
              <w:t>MOSIP Biometric Data S</w:t>
            </w:r>
            <w:r w:rsidR="00A82EBA" w:rsidRPr="0009434D">
              <w:rPr>
                <w:rStyle w:val="Hyperlink"/>
                <w:sz w:val="25"/>
                <w:szCs w:val="25"/>
              </w:rPr>
              <w:t>pec</w:t>
            </w:r>
          </w:hyperlink>
        </w:p>
        <w:p w:rsidR="00A82EBA" w:rsidRPr="00673EC5" w:rsidRDefault="00881974" w:rsidP="00673EC5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73EC5">
            <w:rPr>
              <w:b w:val="0"/>
            </w:rPr>
            <w:t>This section details out the specifications for Biometric data during data acquisition and verification.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4" w:history="1">
            <w:r w:rsidR="00A82EBA" w:rsidRPr="0009434D">
              <w:rPr>
                <w:rStyle w:val="Hyperlink"/>
                <w:sz w:val="25"/>
                <w:szCs w:val="25"/>
              </w:rPr>
              <w:t>MOSIP VDM Spec</w:t>
            </w:r>
          </w:hyperlink>
        </w:p>
        <w:p w:rsidR="00A82EBA" w:rsidRPr="00673EC5" w:rsidRDefault="00DC50F5" w:rsidP="00673EC5">
          <w:pPr>
            <w:pStyle w:val="Heading11"/>
            <w:numPr>
              <w:ilvl w:val="0"/>
              <w:numId w:val="0"/>
            </w:numPr>
            <w:ind w:left="1080"/>
            <w:rPr>
              <w:b w:val="0"/>
            </w:rPr>
          </w:pPr>
          <w:r w:rsidRPr="00673EC5">
            <w:rPr>
              <w:b w:val="0"/>
            </w:rPr>
            <w:t xml:space="preserve">This section illustrates the VDM technical specifications to be adhered </w:t>
          </w:r>
          <w:r w:rsidR="00275DFE">
            <w:rPr>
              <w:b w:val="0"/>
            </w:rPr>
            <w:t xml:space="preserve">to </w:t>
          </w:r>
          <w:r w:rsidRPr="00673EC5">
            <w:rPr>
              <w:b w:val="0"/>
            </w:rPr>
            <w:t xml:space="preserve">by a vendor, who intends to adopt their devices to the MOSIP platform, </w:t>
          </w:r>
          <w:proofErr w:type="gramStart"/>
          <w:r w:rsidRPr="00673EC5">
            <w:rPr>
              <w:b w:val="0"/>
            </w:rPr>
            <w:t>so as to</w:t>
          </w:r>
          <w:proofErr w:type="gramEnd"/>
          <w:r w:rsidRPr="00673EC5">
            <w:rPr>
              <w:b w:val="0"/>
            </w:rPr>
            <w:t xml:space="preserve"> capture the </w:t>
          </w:r>
          <w:r w:rsidR="00182366" w:rsidRPr="00673EC5">
            <w:rPr>
              <w:b w:val="0"/>
            </w:rPr>
            <w:t xml:space="preserve">Biometric </w:t>
          </w:r>
          <w:r w:rsidRPr="00673EC5">
            <w:rPr>
              <w:b w:val="0"/>
            </w:rPr>
            <w:t>data and process the same.</w:t>
          </w:r>
        </w:p>
        <w:p w:rsidR="006571A2" w:rsidRPr="00376E3B" w:rsidRDefault="00F2465D" w:rsidP="006571A2">
          <w:pPr>
            <w:pStyle w:val="Heading421"/>
            <w:rPr>
              <w:sz w:val="25"/>
              <w:szCs w:val="25"/>
            </w:rPr>
          </w:pPr>
          <w:hyperlink r:id="rId25" w:history="1">
            <w:r w:rsidR="00A82EBA" w:rsidRPr="0009434D">
              <w:rPr>
                <w:rStyle w:val="Hyperlink"/>
                <w:sz w:val="25"/>
                <w:szCs w:val="25"/>
              </w:rPr>
              <w:t>Security</w:t>
            </w:r>
          </w:hyperlink>
        </w:p>
        <w:p w:rsidR="00673EC5" w:rsidRDefault="00DC50F5" w:rsidP="00017A13">
          <w:pPr>
            <w:pStyle w:val="Heading11"/>
            <w:numPr>
              <w:ilvl w:val="0"/>
              <w:numId w:val="0"/>
            </w:numPr>
            <w:ind w:left="1080"/>
          </w:pPr>
          <w:r w:rsidRPr="00017A13">
            <w:rPr>
              <w:b w:val="0"/>
            </w:rPr>
            <w:t>Multiple aspects of Security like Confidentiality, Privacy,</w:t>
          </w:r>
          <w:r w:rsidR="00673EC5" w:rsidRPr="00017A13">
            <w:rPr>
              <w:b w:val="0"/>
            </w:rPr>
            <w:t xml:space="preserve"> and</w:t>
          </w:r>
          <w:r w:rsidRPr="00017A13">
            <w:rPr>
              <w:b w:val="0"/>
            </w:rPr>
            <w:t xml:space="preserve"> Integrity of data are key in ensuring an Individual's identity is not compromised. This section illuminates on the Security design principles</w:t>
          </w:r>
          <w:r w:rsidR="00275DFE">
            <w:rPr>
              <w:b w:val="0"/>
            </w:rPr>
            <w:t xml:space="preserve"> that</w:t>
          </w:r>
          <w:r w:rsidRPr="00017A13">
            <w:rPr>
              <w:b w:val="0"/>
            </w:rPr>
            <w:t xml:space="preserve"> MOSIP follows.</w:t>
          </w:r>
        </w:p>
      </w:sdtContent>
    </w:sdt>
    <w:p w:rsidR="00DC08BD" w:rsidRPr="00DA7B37" w:rsidRDefault="00DA7B37" w:rsidP="00DA7B37">
      <w:pPr>
        <w:pStyle w:val="Heading421"/>
        <w:rPr>
          <w:rStyle w:val="Hyperlink"/>
          <w:color w:val="auto"/>
          <w:sz w:val="25"/>
          <w:szCs w:val="25"/>
          <w:u w:val="none"/>
        </w:rPr>
      </w:pPr>
      <w:r w:rsidRPr="00DA7B37">
        <w:rPr>
          <w:rStyle w:val="Hyperlink"/>
          <w:color w:val="auto"/>
          <w:sz w:val="25"/>
          <w:szCs w:val="25"/>
          <w:u w:val="none"/>
        </w:rPr>
        <w:t>External Integration API</w:t>
      </w:r>
    </w:p>
    <w:p w:rsidR="00654644" w:rsidRPr="00DA7B37" w:rsidRDefault="00654644" w:rsidP="00DA7B37">
      <w:pPr>
        <w:ind w:left="1080"/>
        <w:rPr>
          <w:sz w:val="24"/>
          <w:szCs w:val="24"/>
        </w:rPr>
      </w:pPr>
      <w:r w:rsidRPr="00DA7B37">
        <w:rPr>
          <w:sz w:val="24"/>
          <w:szCs w:val="24"/>
        </w:rPr>
        <w:t xml:space="preserve">This </w:t>
      </w:r>
      <w:r w:rsidR="00DA7B37">
        <w:rPr>
          <w:sz w:val="24"/>
          <w:szCs w:val="24"/>
        </w:rPr>
        <w:t>section illustrates the integrational specifications of MOSIP with an external system – WIP.</w:t>
      </w:r>
    </w:p>
    <w:p w:rsidR="004546F3" w:rsidRPr="00DA7B37" w:rsidRDefault="00F2465D" w:rsidP="00DA7B37">
      <w:pPr>
        <w:pStyle w:val="Heading421"/>
        <w:rPr>
          <w:sz w:val="25"/>
          <w:szCs w:val="25"/>
        </w:rPr>
      </w:pPr>
      <w:hyperlink r:id="rId26" w:history="1">
        <w:r w:rsidR="00DA7B37" w:rsidRPr="00DA7B37">
          <w:rPr>
            <w:rStyle w:val="Hyperlink"/>
            <w:sz w:val="25"/>
            <w:szCs w:val="25"/>
          </w:rPr>
          <w:t>Test Rig Design</w:t>
        </w:r>
      </w:hyperlink>
    </w:p>
    <w:p w:rsidR="0025358E" w:rsidRDefault="0031041C" w:rsidP="00DA7B37">
      <w:pPr>
        <w:ind w:left="1080"/>
        <w:rPr>
          <w:rFonts w:cstheme="minorHAnsi"/>
          <w:color w:val="24292E"/>
          <w:sz w:val="24"/>
          <w:szCs w:val="24"/>
        </w:rPr>
      </w:pPr>
      <w:r>
        <w:rPr>
          <w:rFonts w:cstheme="minorHAnsi"/>
          <w:color w:val="24292E"/>
          <w:sz w:val="24"/>
          <w:szCs w:val="24"/>
        </w:rPr>
        <w:t xml:space="preserve">Test Rig represents a one </w:t>
      </w:r>
      <w:proofErr w:type="gramStart"/>
      <w:r>
        <w:rPr>
          <w:rFonts w:cstheme="minorHAnsi"/>
          <w:color w:val="24292E"/>
          <w:sz w:val="24"/>
          <w:szCs w:val="24"/>
        </w:rPr>
        <w:t>click</w:t>
      </w:r>
      <w:proofErr w:type="gramEnd"/>
      <w:r>
        <w:rPr>
          <w:rFonts w:cstheme="minorHAnsi"/>
          <w:color w:val="24292E"/>
          <w:sz w:val="24"/>
          <w:szCs w:val="24"/>
        </w:rPr>
        <w:t xml:space="preserve"> automation to build, deploy and test a software module. Successful execution of test rig would ascertain complete setup of the MOSIP platform.</w:t>
      </w:r>
    </w:p>
    <w:p w:rsidR="00275DFE" w:rsidRDefault="00275DFE" w:rsidP="00DA7B37">
      <w:pPr>
        <w:ind w:left="1080"/>
        <w:rPr>
          <w:rFonts w:cstheme="minorHAnsi"/>
          <w:color w:val="24292E"/>
          <w:sz w:val="24"/>
          <w:szCs w:val="24"/>
        </w:rPr>
      </w:pPr>
      <w:r w:rsidRPr="00275DFE">
        <w:rPr>
          <w:rFonts w:cstheme="minorHAnsi"/>
          <w:color w:val="24292E"/>
          <w:sz w:val="24"/>
          <w:szCs w:val="24"/>
        </w:rPr>
        <w:t>Click on</w:t>
      </w:r>
      <w:r>
        <w:rPr>
          <w:rFonts w:cstheme="minorHAnsi"/>
          <w:color w:val="24292E"/>
          <w:sz w:val="24"/>
          <w:szCs w:val="24"/>
        </w:rPr>
        <w:t xml:space="preserve"> the header name &lt;</w:t>
      </w:r>
      <w:r w:rsidRPr="00275DFE">
        <w:rPr>
          <w:rFonts w:cstheme="minorHAnsi"/>
          <w:color w:val="24292E"/>
          <w:sz w:val="24"/>
          <w:szCs w:val="24"/>
        </w:rPr>
        <w:t>TEST RIG</w:t>
      </w:r>
      <w:r>
        <w:rPr>
          <w:rFonts w:cstheme="minorHAnsi"/>
          <w:color w:val="24292E"/>
          <w:sz w:val="24"/>
          <w:szCs w:val="24"/>
        </w:rPr>
        <w:t>&gt;</w:t>
      </w:r>
      <w:r w:rsidRPr="00275DFE">
        <w:rPr>
          <w:rFonts w:cstheme="minorHAnsi"/>
          <w:color w:val="24292E"/>
          <w:sz w:val="24"/>
          <w:szCs w:val="24"/>
        </w:rPr>
        <w:t xml:space="preserve"> to navigate to wiki for further details.</w:t>
      </w:r>
    </w:p>
    <w:p w:rsidR="00DC08BD" w:rsidRDefault="00DC08BD" w:rsidP="00292121">
      <w:pPr>
        <w:rPr>
          <w:rFonts w:cstheme="minorHAnsi"/>
          <w:color w:val="24292E"/>
          <w:sz w:val="24"/>
          <w:szCs w:val="24"/>
        </w:rPr>
      </w:pPr>
    </w:p>
    <w:p w:rsidR="00D322A1" w:rsidRPr="005D7817" w:rsidRDefault="00D322A1" w:rsidP="004546F3">
      <w:pPr>
        <w:rPr>
          <w:rFonts w:cstheme="minorHAnsi"/>
          <w:sz w:val="24"/>
          <w:szCs w:val="24"/>
        </w:rPr>
      </w:pPr>
    </w:p>
    <w:sectPr w:rsidR="00D322A1" w:rsidRPr="005D7817" w:rsidSect="00A82EBA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65D" w:rsidRDefault="00F2465D" w:rsidP="00B36175">
      <w:pPr>
        <w:spacing w:after="0" w:line="240" w:lineRule="auto"/>
      </w:pPr>
      <w:r>
        <w:separator/>
      </w:r>
    </w:p>
  </w:endnote>
  <w:endnote w:type="continuationSeparator" w:id="0">
    <w:p w:rsidR="00F2465D" w:rsidRDefault="00F2465D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D96ED7">
          <w:rPr>
            <w:noProof/>
          </w:rPr>
          <w:t>4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65D" w:rsidRDefault="00F2465D" w:rsidP="00B36175">
      <w:pPr>
        <w:spacing w:after="0" w:line="240" w:lineRule="auto"/>
      </w:pPr>
      <w:r>
        <w:separator/>
      </w:r>
    </w:p>
  </w:footnote>
  <w:footnote w:type="continuationSeparator" w:id="0">
    <w:p w:rsidR="00F2465D" w:rsidRDefault="00F2465D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5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16"/>
  </w:num>
  <w:num w:numId="4">
    <w:abstractNumId w:val="21"/>
  </w:num>
  <w:num w:numId="5">
    <w:abstractNumId w:val="5"/>
  </w:num>
  <w:num w:numId="6">
    <w:abstractNumId w:val="26"/>
  </w:num>
  <w:num w:numId="7">
    <w:abstractNumId w:val="28"/>
  </w:num>
  <w:num w:numId="8">
    <w:abstractNumId w:val="7"/>
  </w:num>
  <w:num w:numId="9">
    <w:abstractNumId w:val="8"/>
  </w:num>
  <w:num w:numId="10">
    <w:abstractNumId w:val="1"/>
  </w:num>
  <w:num w:numId="11">
    <w:abstractNumId w:val="24"/>
  </w:num>
  <w:num w:numId="12">
    <w:abstractNumId w:val="12"/>
  </w:num>
  <w:num w:numId="13">
    <w:abstractNumId w:val="22"/>
  </w:num>
  <w:num w:numId="14">
    <w:abstractNumId w:val="20"/>
  </w:num>
  <w:num w:numId="15">
    <w:abstractNumId w:val="15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7"/>
  </w:num>
  <w:num w:numId="20">
    <w:abstractNumId w:val="19"/>
  </w:num>
  <w:num w:numId="21">
    <w:abstractNumId w:val="14"/>
  </w:num>
  <w:num w:numId="22">
    <w:abstractNumId w:val="18"/>
  </w:num>
  <w:num w:numId="23">
    <w:abstractNumId w:val="28"/>
  </w:num>
  <w:num w:numId="24">
    <w:abstractNumId w:val="28"/>
  </w:num>
  <w:num w:numId="25">
    <w:abstractNumId w:val="19"/>
  </w:num>
  <w:num w:numId="26">
    <w:abstractNumId w:val="19"/>
  </w:num>
  <w:num w:numId="27">
    <w:abstractNumId w:val="13"/>
  </w:num>
  <w:num w:numId="28">
    <w:abstractNumId w:val="19"/>
  </w:num>
  <w:num w:numId="29">
    <w:abstractNumId w:val="10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27"/>
  </w:num>
  <w:num w:numId="36">
    <w:abstractNumId w:val="19"/>
  </w:num>
  <w:num w:numId="37">
    <w:abstractNumId w:val="19"/>
  </w:num>
  <w:num w:numId="38">
    <w:abstractNumId w:val="19"/>
  </w:num>
  <w:num w:numId="39">
    <w:abstractNumId w:val="25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2BBD"/>
    <w:rsid w:val="000B5662"/>
    <w:rsid w:val="000B7197"/>
    <w:rsid w:val="000B7AD1"/>
    <w:rsid w:val="000C55E5"/>
    <w:rsid w:val="000D5973"/>
    <w:rsid w:val="000F026E"/>
    <w:rsid w:val="000F060F"/>
    <w:rsid w:val="000F0E46"/>
    <w:rsid w:val="000F71F0"/>
    <w:rsid w:val="000F7DE8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68AF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C9C"/>
    <w:rsid w:val="00701DB6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C0C0B"/>
    <w:rsid w:val="008C4803"/>
    <w:rsid w:val="008D6BCC"/>
    <w:rsid w:val="008E104A"/>
    <w:rsid w:val="008E4224"/>
    <w:rsid w:val="008F2B0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10541"/>
    <w:rsid w:val="00B11FE1"/>
    <w:rsid w:val="00B16EE9"/>
    <w:rsid w:val="00B20378"/>
    <w:rsid w:val="00B234E6"/>
    <w:rsid w:val="00B36175"/>
    <w:rsid w:val="00B448A4"/>
    <w:rsid w:val="00B559B5"/>
    <w:rsid w:val="00B5623E"/>
    <w:rsid w:val="00B60877"/>
    <w:rsid w:val="00B617B5"/>
    <w:rsid w:val="00B713FE"/>
    <w:rsid w:val="00B73B89"/>
    <w:rsid w:val="00B84783"/>
    <w:rsid w:val="00B85F9C"/>
    <w:rsid w:val="00BA6AA2"/>
    <w:rsid w:val="00BA7E03"/>
    <w:rsid w:val="00BB1F87"/>
    <w:rsid w:val="00BB5B8A"/>
    <w:rsid w:val="00BB7CFE"/>
    <w:rsid w:val="00BD11BE"/>
    <w:rsid w:val="00BD434A"/>
    <w:rsid w:val="00BE2EE7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C1F03"/>
    <w:rsid w:val="00FC6F38"/>
    <w:rsid w:val="00FD4D32"/>
    <w:rsid w:val="00FE4B68"/>
    <w:rsid w:val="00FF14EE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BE72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wiki/Architecture-Principles-&amp;-Platform-Goals" TargetMode="External"/><Relationship Id="rId13" Type="http://schemas.openxmlformats.org/officeDocument/2006/relationships/hyperlink" Target="https://github.com/mosip/mosip/wiki/Pre-Registration" TargetMode="External"/><Relationship Id="rId18" Type="http://schemas.openxmlformats.org/officeDocument/2006/relationships/hyperlink" Target="https://github.com/mosip/mosip/wiki/MOSIP-ID-Object-definition" TargetMode="External"/><Relationship Id="rId26" Type="http://schemas.openxmlformats.org/officeDocument/2006/relationships/hyperlink" Target="https://github.com/mosip/mosip/wiki/Test-Rig-Desig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osip/mosip/wiki/MOSIP-ABIS-Middlewa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osip/mosip/wiki/MOSIP-Data-Architecture" TargetMode="External"/><Relationship Id="rId17" Type="http://schemas.openxmlformats.org/officeDocument/2006/relationships/hyperlink" Target="https://github.com/mosip/mosip/wiki/Kernel" TargetMode="External"/><Relationship Id="rId25" Type="http://schemas.openxmlformats.org/officeDocument/2006/relationships/hyperlink" Target="https://github.com/mosip/mosip/wiki/Secur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sip/mosip/wiki/ID-Authentication" TargetMode="External"/><Relationship Id="rId20" Type="http://schemas.openxmlformats.org/officeDocument/2006/relationships/hyperlink" Target="https://github.com/mosip/mosip/wiki/Registration-Packet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ip/mosip/wiki/Process-view" TargetMode="External"/><Relationship Id="rId24" Type="http://schemas.openxmlformats.org/officeDocument/2006/relationships/hyperlink" Target="https://github.com/mosip/mosip/wiki/MOSIP-VDM-Specification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sip/mosip/wiki/Registration-Processor" TargetMode="External"/><Relationship Id="rId23" Type="http://schemas.openxmlformats.org/officeDocument/2006/relationships/hyperlink" Target="https://github.com/mosip/mosip/wiki/MOSIP-Biometric-Data-Specification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mosip/mosip/wiki/Technology-Stack" TargetMode="External"/><Relationship Id="rId19" Type="http://schemas.openxmlformats.org/officeDocument/2006/relationships/hyperlink" Target="https://github.com/mosip/mosip/wiki/MOSIP-configuration-&amp;-launche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wiki/Logical-Architecture" TargetMode="External"/><Relationship Id="rId14" Type="http://schemas.openxmlformats.org/officeDocument/2006/relationships/hyperlink" Target="https://github.com/mosip/mosip/wiki/Registration-Client" TargetMode="External"/><Relationship Id="rId22" Type="http://schemas.openxmlformats.org/officeDocument/2006/relationships/hyperlink" Target="https://github.com/mosip/mosip/wiki/Automated-Biometric-Identification-System-(ABIS)-Interface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9901-8EA5-4F24-8A11-58AD94E3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Resham Chugani</cp:lastModifiedBy>
  <cp:revision>29</cp:revision>
  <cp:lastPrinted>2019-02-05T13:12:00Z</cp:lastPrinted>
  <dcterms:created xsi:type="dcterms:W3CDTF">2019-02-05T05:13:00Z</dcterms:created>
  <dcterms:modified xsi:type="dcterms:W3CDTF">2019-02-05T13:53:00Z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