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D5EA8" w:val="solid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금융 계산기</w:t>
            </w:r>
          </w:p>
          <w:p>
            <w:r>
              <w:rPr>
                <w:rFonts w:ascii="Arial" w:cs="Arial" w:eastAsia="Arial" w:hAnsi="Arial"/>
                <w:color w:val="CCE0FF"/>
                <w:sz w:val="22"/>
                <w:szCs w:val="22"/>
              </w:rPr>
              <w:t xml:space="preserve">사용 설명서  |  Financial Calculator User Guide</w:t>
            </w:r>
          </w:p>
        </w:tc>
      </w:tr>
    </w:tbl>
    <w:p>
      <w:pPr>
        <w:spacing w:before="0" w:after="200"/>
      </w:pPr>
    </w:p>
    <w:p>
      <w:pPr>
        <w:jc w:val="right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버전 1.0  |  2026년 3월</w:t>
      </w:r>
    </w:p>
    <w:p>
      <w:pPr>
        <w:spacing w:before="0" w:after="40"/>
      </w:pPr>
    </w:p>
    <w:p>
      <w:pPr>
        <w:pBdr>
          <w:bottom w:val="single" w:color="DDDDDD" w:sz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1. 개요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금융 계산기는 복리 투자, 배당 투자, 대출 상환을 하나의 파일에서 시뮬레이션할 수 있는 오프라인 웹 앱입니다. 별도 설치 없이 HTML 파일을 브라우저에서 열면 바로 사용할 수 있으며, 인터넷 연결 없이도 동작합니다.</w:t>
      </w:r>
    </w:p>
    <w:p>
      <w:pPr>
        <w:spacing w:before="0" w:after="8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항목</w:t>
            </w:r>
          </w:p>
        </w:tc>
        <w:tc>
          <w:tcPr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파일 형식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단일 HTML 파일 (index.html)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동작 환경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인터넷 연결 불필요 (완전 오프라인)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지원 브라우저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Chrome, Edge, Firefox, Safari (최신 버전)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모바일 지원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반응형 레이아웃으로 스마트폰/태블릿 지원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다크모드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시스템 설정 자동 감지 + 수동 토글 가능</w:t>
            </w:r>
          </w:p>
        </w:tc>
      </w:tr>
    </w:tbl>
    <w:p>
      <w:pPr>
        <w:spacing w:before="0" w:after="80"/>
      </w:pPr>
    </w:p>
    <w:p>
      <w:pPr>
        <w:pBdr>
          <w:bottom w:val="single" w:color="DDDDDD" w:sz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2. 화면 구성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화면 상단의 탭으로 두 가지 주요 기능을 전환합니다.</w:t>
      </w:r>
    </w:p>
    <w:p>
      <w:pPr>
        <w:spacing w:before="0" w:after="8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탭</w:t>
            </w:r>
          </w:p>
        </w:tc>
        <w:tc>
          <w:tcPr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복리 / 배당 계산기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복리 투자 시뮬레이션과 배당 투자 시뮬레이션을 내부 모드 버튼으로 전환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대출 계산기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원리금균등상환 방식의 대출 조건 계산 및 상환 구조 시각화</w:t>
            </w:r>
          </w:p>
        </w:tc>
      </w:tr>
    </w:tbl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화면 우측 상단의 ☀️ / 🌙 토글 버튼으로 라이트 모드와 다크 모드를 전환할 수 있습니다. 선택한 테마는 브라우저에 저장되어 다음 방문 시에도 유지됩니다.</w:t>
      </w:r>
    </w:p>
    <w:p>
      <w:pPr>
        <w:spacing w:before="0" w:after="80"/>
      </w:pPr>
    </w:p>
    <w:p>
      <w:pPr>
        <w:pBdr>
          <w:bottom w:val="single" w:color="DDDDDD" w:sz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3. 복리 / 배당 계산기 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3-1. 복리 투자 모드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초기 투자금과 월 추가 납입금을 기준으로 복리 수익을 시뮬레이션합니다.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입력 항목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초기 투자금 (원):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시작 시점에 투자하는 금액. 숫자 입력 후 ↑↓ 방향키로 100만 원 단위 조정 가능.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월 추가 납입 (원):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매달 추가로 투자하는 금액. ↑↓ 방향키로 10만 원 단위 조정 가능.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연 수익률: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슬라이더(1~20%)로 조정하거나 하단 프리셋 버튼(1%, 5%, 10%, 15%, 20%) 클릭. 슬라이더 포커스 후 ← → 키로 1% 단위 조정.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투자 기간: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슬라이더(1~40년)로 조정하거나 프리셋 버튼(1, 5, 10, 20, 40년) 클릭.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결과 카드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최종 자산: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투자 기간 종료 시점의 예상 총 자산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총 납입금: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초기 투자금 + 월 납입금 × 기간의 합계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수익 (수익률):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총 수익금과 납입금 대비 수익률(%)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그래프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연도별 누적 자산을 납입금(파랑)과 수익(초록) 스택 막대 차트로 표시.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마우스를 막대 위에 올리면 해당 연도의 최종 자산·납입금·수익 툴팁이 표시됩니다.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참고 수익률 (우측 하단)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S&amp;P 500: 10년 평균 +13.1% / 20년 평균 +9.8%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나스닥 100: 10년 평균 +18.5% / 20년 평균 +15.2%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※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과거 수익률은 미래 수익을 보장하지 않습니다.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3-2. 배당 투자 모드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"복리 투자" 옆의 "배당 투자" 버튼을 누르면 전환됩니다. 배당 수익과 재투자 효과를 시뮬레이션합니다.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입력 방식 선택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투자 금액 (원):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투자금액 + 배당수익률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총 투자 금액과 연간 배당수익률(%)을 입력합니다.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주식수량 + 주당배당금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보유 주식 수(주)와 주당 배당금(원)을 직접 입력합니다.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공통 설정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배당 지급 주기: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월배당 / 분기배당 / 반기배당 / 연배당 중 선택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배당 재투자: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재투자(DRIP) 선택 시 배당금이 자동으로 재투자되어 복리 효과 발생. 비재투자 선택 시 배당금만 수령.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투자 기간: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1~40년, 슬라이더 또는 프리셋 버튼으로 설정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세금 공제 설정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"세금 공제 적용" 체크박스를 체크하면 세율 입력란이 나타납니다.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기본 세율 15.4% (소득세 14% + 지방소득세 1.4%) 자동 입력.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세율은 직접 수정 가능. 금융소득 종합과세 대상자(연 배당 2,000만 원 초과)는 해당 세율로 변경.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연간 배당금이 2,000만 원 초과 시 종합과세 안내 배지가 자동 표시됩니다.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결과 카드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연간 배당금: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세전 또는 세후 연간 배당금 (세금 공제 설정에 따라 표시)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월 환산 배당금: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연간 배당금 ÷ 12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총 배당 수령액: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투자 기간 동안 수령하는 배당금 누계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재투자 최종 자산: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DRIP 재투자 시 기간 종료 시점의 총 자산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그래프 (재투자 vs 비재투자 비교)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주황 선(DRIP 재투자 자산), 파랑 막대(배당 비재투자 자산 누적), 회색 막대(원금) 3가지를 한 차트에서 비교.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마우스 호버 시 해당 연도의 재투자/비재투자 자산 및 누적 배당금 툴팁 표시.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고배당 ETF 참고 수익률 (우측 하단)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2%"/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ETF</w:t>
            </w:r>
          </w:p>
        </w:tc>
        <w:tc>
          <w:tcPr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배당수익률</w:t>
            </w:r>
          </w:p>
        </w:tc>
        <w:tc>
          <w:tcPr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주가 CAGR(10년)</w:t>
            </w:r>
          </w:p>
        </w:tc>
        <w:tc>
          <w:tcPr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총수익 CAGR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SCHD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약 3.4%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+9.5%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+13.1%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VOO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약 1.2%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+12.4% (5년)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+13~14%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JEPI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약 8.3%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제한적 (커버드콜)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80"/>
      </w:pPr>
    </w:p>
    <w:p>
      <w:pPr>
        <w:pBdr>
          <w:bottom w:val="single" w:color="DDDDDD" w:sz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4. 대출 계산기 탭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원리금균등상환 방식을 기준으로 월 납입금·총 이자·상환 구조를 계산합니다. 매달 동일한 금액을 납부하는 가장 일반적인 주택담보대출·신용대출 방식입니다.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4-1. 입력 항목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대출금 (억원):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억 단위로 입력. 예: 3 → 3억원, 4.5 → 4억 5천만원. ↑↓ 방향키로 0.1억 단위 조정.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연 이자율 (%):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슬라이더(1~15%) 또는 프리셋 버튼(2%, 3%, 4%, 5%, 6%). ↑↓ 방향키로 0.1% 단위 조정.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대출 기간 (년):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슬라이더(1~50년) 또는 프리셋 버튼(10, 15, 20, 30, 50년). ↑↓ 방향키로 1년 단위 조정.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※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입력 필드 아래에 한글 금액이 실시간으로 표시됩니다 (예: 300000000 → "3억원").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4-2. 결과 카드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월 납입금: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매달 납부해야 하는 동일한 금액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총 납입금: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월 납입금 × 대출 기간(개월) 합계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5EA8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총 이자: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총 납입금 - 대출원금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4-3. 시각화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도넛 차트: 원금(파랑)과 이자(빨강)의 비율을 한눈에 확인. 중앙에 이자 비율(%) 표시.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수평 바: 원금과 총 이자의 절대 금액과 비율을 막대로 표시.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연도별 막대 차트: 연도별 원금 상환액(파랑)과 이자(빨강) 분포를 비교. 마우스 호버 시 해당 연도의 원금·이자·합계 툴팁 표시.</w:t>
      </w:r>
    </w:p>
    <w:p>
      <w:pPr>
        <w:spacing w:before="0" w:after="80"/>
      </w:pPr>
    </w:p>
    <w:p>
      <w:pPr>
        <w:pBdr>
          <w:bottom w:val="single" w:color="DDDDDD" w:sz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5. 공통 기능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5-1. 한글 금액 힌트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숫자 입력 필드 아래에 입력값을 한글로 실시간 변환하여 표시합니다.</w:t>
      </w:r>
    </w:p>
    <w:p>
      <w:pPr>
        <w:spacing w:before="0" w:after="8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입력 필드</w:t>
            </w:r>
          </w:p>
        </w:tc>
        <w:tc>
          <w:tcPr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힌트 형식</w:t>
            </w:r>
          </w:p>
        </w:tc>
        <w:tc>
          <w:tcPr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초기 투자금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조·억·만 단위 한글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100000000 → 1억원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월 납입금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조·억·만 단위 한글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500000 → 50만원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대출금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억 단위 → 원 변환 후 한글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3.5 → 3억 5천만원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이자율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%로 표시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4.5 → 4.5%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기간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년으로 표시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→ 30년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5-2. 키보드 단축키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입력 필드</w:t>
            </w:r>
          </w:p>
        </w:tc>
        <w:tc>
          <w:tcPr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키</w:t>
            </w:r>
          </w:p>
        </w:tc>
        <w:tc>
          <w:tcPr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초기 투자금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↑ / ↓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+100만원 / -100만원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월 납입금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↑ / ↓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+10만원 / -10만원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대출금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↑ / ↓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+0.1억원 / -0.1억원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연 이자율 (대출)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↑ / ↓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+0.1% / -0.1%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대출 기간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↑ / ↓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+1년 / -1년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수익률 슬라이더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← / →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+1% / -1%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기간 슬라이더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← / →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+1년 / -1년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※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슬라이더는 클릭하거나 프리셋 버튼 클릭 후 포커스 이동 시 방향키가 활성화됩니다.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5-3. 다크 / 라이트 모드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첫 방문 시 OS 시스템 설정을 자동 감지하여 테마를 적용합니다.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우측 상단 토글 버튼으로 언제든지 전환 가능합니다.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선택한 테마는 브라우저 로컬 스토리지에 저장되어 재방문 시 유지됩니다.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5-4. 반응형 레이아웃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화면 너비 560px 이하(스마트폰)에서 입력 그리드와 카드가 자동으로 재배치됩니다.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차트는 부모 요소 크기에 맞게 자동으로 재렌더링됩니다.</w:t>
      </w:r>
    </w:p>
    <w:p>
      <w:pPr>
        <w:spacing w:before="0" w:after="80"/>
      </w:pPr>
    </w:p>
    <w:p>
      <w:pPr>
        <w:pBdr>
          <w:bottom w:val="single" w:color="DDDDDD" w:sz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6. 기술 스택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이 프로그램은 외부 프레임워크나 라이브러리 없이 표준 웹 기술만으로 구현되었습니다.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6-1. HTML5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문서 구조와 시맨틱 마크업을 담당합니다. 단일 .html 파일 안에 CSS와 JavaScript를 모두 내장하여 서버 없이 로컬에서 바로 실행됩니다.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&lt;canvas&gt;: 차트와 그래프를 직접 그리는 드로잉 영역으로 사용.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&lt;input type="range"&gt;: 슬라이더 UI 구현.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&lt;select&gt;: 배당 주기, 재투자 여부 선택 드롭다운.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data-theme 속성: 루트 요소에 적용하여 라이트/다크 모드 전환을 CSS 변수로 제어.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6-2. CSS3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UI 스타일과 테마 시스템을 담당합니다.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CSS 커스텀 프로퍼티 (CSS 변수): :root와 [data-theme="dark"]에 색상 팔레트를 정의하여 테마 전환을 단일 속성 변경으로 처리.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CSS Grid &amp; Flexbox: 입력 폼과 요약 카드 레이아웃을 유연하게 배치.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미디어 쿼리 (@media): 화면 너비 560px 기준으로 모바일 레이아웃 전환.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CSS 트랜지션: 테마 전환·버튼 호버·슬라이더 등에 부드러운 애니메이션 적용.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:root 변수: 색상, 여백, 그림자 등 디자인 토큰을 중앙에서 관리.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6-3. Vanilla JavaScript (ES6+)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모든 계산 로직과 UI 인터랙션을 외부 라이브러리 없이 구현합니다.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복리 계산 공식: FV = PV × (1+r)ⁿ + PMT × ((1+r)ⁿ - 1) / r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대출 월 납입금 공식 (원리금균등): M = A × r(1+r)ⁿ / ((1+r)ⁿ - 1)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배당 재투자(DRIP) 시뮬레이션: 연간 배당수익률로 자산을 복리 증식.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Canvas API: 외부 차트 라이브러리 없이 직접 막대·선·도넛 차트 구현. HiDPI(Retina) 대응을 위해 devicePixelRatio 적용.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localStorage: 선택한 테마(라이트/다크)를 브라우저에 영구 저장.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한글 금액 변환: 조·억·만 단위를 파싱하여 실시간 한글 표기 생성.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이벤트 위임 및 상태 관리: 탭·모드·입력 방식 전환을 전역 상태 변수로 관리.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5EA8"/>
          <w:sz w:val="24"/>
          <w:szCs w:val="24"/>
        </w:rPr>
        <w:t xml:space="preserve">6-4. Canvas API 차트 구현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Chart.js 등 외부 라이브러리 없이 브라우저 내장 Canvas 2D API로 모든 차트를 직접 그립니다. 이 방식의 장점은 인터넷 연결 없이 완전한 오프라인 동작이 가능하고, 파일 크기를 최소화할 수 있다는 점입니다.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차트 종류</w:t>
            </w:r>
          </w:p>
        </w:tc>
        <w:tc>
          <w:tcPr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구현 방식</w:t>
            </w:r>
          </w:p>
        </w:tc>
        <w:tc>
          <w:tcPr>
            <w:shd w:color="E8F0FB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5EA8"/>
                <w:sz w:val="18"/>
                <w:szCs w:val="18"/>
              </w:rPr>
              <w:t xml:space="preserve">사용 위치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스택 막대 차트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fillRect + roundRect으로 스택 렌더링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복리·배당 연도별 자산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선 차트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beginPath + lineTo 경로 그리기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배당 재투자(DRIP) 비교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도넛 차트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arc()로 섹터 그리기 + 중앙 구멍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대출 원금/이자 비율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툴팁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마우스 이벤트 + Canvas 텍스트 렌더링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모든 차트 공통</w:t>
            </w:r>
          </w:p>
        </w:tc>
      </w:tr>
      <w:tr>
        <w:tc>
          <w:tcPr>
            <w:tcW w:type="pct" w:w="32%"/>
            <w:shd w:color="F8F8F8" w:val="solid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X축 레이블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겹침 방지 알고리즘 (픽셀 간격 계산)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모든 막대 차트</w:t>
            </w:r>
          </w:p>
        </w:tc>
      </w:tr>
    </w:tbl>
    <w:p>
      <w:pPr>
        <w:spacing w:before="0" w:after="80"/>
      </w:pPr>
    </w:p>
    <w:p>
      <w:pPr>
        <w:pBdr>
          <w:bottom w:val="single" w:color="DDDDDD" w:sz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7. 주의사항 및 면책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이 계산기의 모든 결과는 입력값을 기반으로 한 시뮬레이션으로, 실제 투자 수익이나 대출 조건을 보장하지 않습니다.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복리·배당 계산은 세금·인플레이션·수수료를 반영하지 않습니다 (배당 세금 설정 기능 제외).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대출 계산기는 원리금균등상환 방식만 지원하며, 중도상환·변동금리는 계산하지 않습니다.</w:t>
      </w:r>
    </w:p>
    <w:p>
      <w:pPr>
        <w:spacing w:before="40" w:after="40"/>
        <w:ind w:left="420" w:hanging="22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투자 결정은 반드시 전문 재무 상담사와 상의하시기 바랍니다.</w:t>
      </w:r>
    </w:p>
    <w:p>
      <w:pPr>
        <w:spacing w:before="0" w:after="80"/>
      </w:pPr>
    </w:p>
    <w:p>
      <w:pPr>
        <w:pBdr>
          <w:bottom w:val="single" w:color="DDDDDD" w:sz="1"/>
        </w:pBdr>
        <w:spacing w:before="160" w:after="160"/>
      </w:pPr>
    </w:p>
    <w:p>
      <w:pPr>
        <w:spacing w:before="0" w:after="40"/>
      </w:pP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sseokpyo / financial-calculator  |  github.com/sseokpyo/financial-calculator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2026-03-20T00:10:13.053Z</dcterms:created>
  <dcterms:modified xsi:type="dcterms:W3CDTF">2026-03-20T00:10:13.054Z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