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</w:pPr>
      <w:r>
        <w:rPr>
          <w:b/>
          <w:i w:val="0"/>
          <w:sz w:val="36"/>
          <w:rFonts w:ascii="Times New Roman" w:hAnsi="Times New Roman" w:cs="Times New Roman" w:eastAsia="宋体"/>
        </w:rPr>
        <w:t>平均值 — 全数据（1023行，新数据 8.31，三档 laser 已合并）</w:t>
      </w:r>
    </w:p>
    <w:p/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一、数据信息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目标变量：拉曼强度平均值 (Raman Intensity Average)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分析类型：平均值 — 全数据（1023行，新数据 8.31，三档 laser 已合并）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样本数量：1023 行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二、模型性能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模型：GradientBoostingRegressor（n_estimators=300, max_depth=5, learning_rate=0.05, subsample=0.8, random_state=42）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指标</w:t>
            </w:r>
          </w:p>
        </w:tc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数值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Train R²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0.9997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0.9954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RMSE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107.7828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MAE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56.5893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三、特征重要性 (Mean |SHAP|)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66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3402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Mean |SHAP|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(pM)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801.7726</w:t>
            </w:r>
          </w:p>
        </w:tc>
      </w:tr>
      <w:tr>
        <w:tc>
          <w:tcPr>
            <w:tcW w:type="dxa" w:w="56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 (s)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601.3699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(μL/min)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348.3927</w:t>
            </w:r>
          </w:p>
        </w:tc>
      </w:tr>
      <w:tr>
        <w:tc>
          <w:tcPr>
            <w:tcW w:type="dxa" w:w="56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(mW)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181.4543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四、特征取值范围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最小值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最大值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均值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激光功率 (Laser Power, mW)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10.0000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50.0000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32.7370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浓度 (Concentration, pM)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160.0000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50.0244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采集时间 (Acquisition Time, s)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0.1000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5.0000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2.4901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流速 (Flow Rate, μL/min)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1280.0000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269.5503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五、目标变量范围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最小值: 17.6738  最大值: 12504.6948  均值: 912.3225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六、SHAP 图表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注：下方图片已嵌入本报告；同时原始 PNG 也保存在本报告所在目录的 images/ 子目录中。</w:t>
      </w:r>
    </w:p>
    <w:p/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6.1 全局重要性（Bar Chart）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194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global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  全局特征重要性（Mean |SHAP value|）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6.2 Beeswarm 图（Summary）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346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beeswa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图2  SHAP Summary（Beeswarm）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6.3 单特征 SHAP 依赖图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75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laser_po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5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图3  激光功率 (Laser Power) 与SHAP依赖关系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311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concent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1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图4  浓度 (Concentration) 与SHAP依赖关系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34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acq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图5  采集时间 (Acquisition Time) 与SHAP依赖关系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389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flow_r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8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图6  流速 (Flow Rate) 与SHAP依赖关系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6.4 特征交互图（4 特征 × 6 对组合）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949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laser_power_x_concent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图7  交互：激光功率 × 浓度（着色）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849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laser_power_x_acq_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图8  交互：激光功率 × 采集时间（着色）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049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laser_power_x_flow_r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图9  交互：激光功率 × 流速（着色）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586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concentration_x_acq_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8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图10  交互：浓度 × 采集时间（着色）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783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concentration_x_flow_r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图11  交互：浓度 × 流速（着色）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701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acq_time_x_flow_r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图12  交互：采集时间 × 流速（着色）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6.5 局部解释（Waterfall）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447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local_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4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图13  SHAP局部解释 — 低值样本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310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local_mediu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图14  SHAP局部解释 — 中值样本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174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local_hig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图15  SHAP局部解释 — 高值样本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6.6 Parity Plot：预测 vs 实际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9959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parity_pl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9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图16  Parity Plot：预测 vs 实际（与 y=x 参考线对比）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七、结论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浓度 (Concentration) 是影响拉曼强度平均值的最关键因素，远超其他因素。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采集时间 (Acquisition Time) 是第二影响因素，时间越久信号越强。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流速 (Flow Rate) 是第三影响因素，流速越快信号越强，停止时信号最低。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激光功率 (Laser Power) 贡献最小。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