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00" w:lineRule="auto"/>
        <w:jc w:val="center"/>
      </w:pPr>
      <w:r>
        <w:rPr>
          <w:b/>
          <w:i w:val="0"/>
          <w:sz w:val="36"/>
          <w:rFonts w:ascii="Times New Roman" w:hAnsi="Times New Roman" w:cs="Times New Roman" w:eastAsia="宋体"/>
        </w:rPr>
        <w:t>新旧数据对比 — 分析1 — 平均值 / 全数据</w:t>
      </w:r>
    </w:p>
    <w:p/>
    <w:p>
      <w:pPr>
        <w:pStyle w:val="Heading1"/>
        <w:spacing w:before="20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一、本次分析概览</w:t>
      </w:r>
    </w:p>
    <w:p>
      <w:pPr>
        <w:spacing w:before="0"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目标变量：拉曼强度平均值 (Raman Intensity Average)</w:t>
      </w:r>
    </w:p>
    <w:p>
      <w:pPr>
        <w:spacing w:before="0"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本批数据：平均值 — 全数据（1023行，新数据 8.31，三档 laser 已合并）（1023 行）</w:t>
      </w:r>
    </w:p>
    <w:p>
      <w:pPr>
        <w:spacing w:before="0"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旧批数据：平均值 — 全数据（1023行，新数据 8.31，三档 laser 已合并）（1023 行）</w:t>
      </w:r>
    </w:p>
    <w:p>
      <w:pPr>
        <w:spacing w:before="0"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模型：GradientBoostingRegressor（同配置）</w:t>
      </w:r>
    </w:p>
    <w:p>
      <w:pPr>
        <w:pStyle w:val="Heading1"/>
        <w:spacing w:before="20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二、两批数据规模对比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402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项目</w:t>
            </w:r>
          </w:p>
        </w:tc>
        <w:tc>
          <w:tcPr>
            <w:tcW w:type="dxa" w:w="2835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旧数据</w:t>
            </w:r>
          </w:p>
        </w:tc>
        <w:tc>
          <w:tcPr>
            <w:tcW w:type="dxa" w:w="396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新数据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样本数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1023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1023</w:t>
            </w:r>
          </w:p>
        </w:tc>
      </w:tr>
      <w:tr>
        <w:tc>
          <w:tcPr>
            <w:tcW w:type="dxa" w:w="3402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laser 档位</w:t>
            </w:r>
          </w:p>
        </w:tc>
        <w:tc>
          <w:tcPr>
            <w:tcW w:type="dxa" w:w="2835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10 / 30 / 50</w:t>
            </w:r>
          </w:p>
        </w:tc>
        <w:tc>
          <w:tcPr>
            <w:tcW w:type="dxa" w:w="396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10 / 30 / 50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concentration 档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5–160 (6 档)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5–160 (6 档，新批次 laser=10 缺 160)</w:t>
            </w:r>
          </w:p>
        </w:tc>
      </w:tr>
      <w:tr>
        <w:tc>
          <w:tcPr>
            <w:tcW w:type="dxa" w:w="3402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RSD 单位</w:t>
            </w:r>
          </w:p>
        </w:tc>
        <w:tc>
          <w:tcPr>
            <w:tcW w:type="dxa" w:w="2835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小数 (中位 0.063)</w:t>
            </w:r>
          </w:p>
        </w:tc>
        <w:tc>
          <w:tcPr>
            <w:tcW w:type="dxa" w:w="396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百分数 (中位 17.43)</w:t>
            </w:r>
          </w:p>
        </w:tc>
      </w:tr>
    </w:tbl>
    <w:p>
      <w:pPr>
        <w:pStyle w:val="Heading1"/>
        <w:spacing w:before="20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三、模型表现对比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268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指标</w:t>
            </w:r>
          </w:p>
        </w:tc>
        <w:tc>
          <w:tcPr>
            <w:tcW w:type="dxa" w:w="2835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旧数据</w:t>
            </w:r>
          </w:p>
        </w:tc>
        <w:tc>
          <w:tcPr>
            <w:tcW w:type="dxa" w:w="2835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新数据</w:t>
            </w:r>
          </w:p>
        </w:tc>
        <w:tc>
          <w:tcPr>
            <w:tcW w:type="dxa" w:w="2268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差异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Train R²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0.9997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0.9997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+0.0000</w:t>
            </w:r>
          </w:p>
        </w:tc>
      </w:tr>
      <w:tr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Test R²</w:t>
            </w:r>
          </w:p>
        </w:tc>
        <w:tc>
          <w:tcPr>
            <w:tcW w:type="dxa" w:w="2835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0.9954</w:t>
            </w:r>
          </w:p>
        </w:tc>
        <w:tc>
          <w:tcPr>
            <w:tcW w:type="dxa" w:w="2835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0.9954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+0.0000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Test RMSE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107.7828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107.7828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（量纲不同，仅供参考）</w:t>
            </w:r>
          </w:p>
        </w:tc>
      </w:tr>
      <w:tr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Test MAE</w:t>
            </w:r>
          </w:p>
        </w:tc>
        <w:tc>
          <w:tcPr>
            <w:tcW w:type="dxa" w:w="2835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56.5893</w:t>
            </w:r>
          </w:p>
        </w:tc>
        <w:tc>
          <w:tcPr>
            <w:tcW w:type="dxa" w:w="2835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56.5893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（量纲不同，仅供参考）</w:t>
            </w:r>
          </w:p>
        </w:tc>
      </w:tr>
    </w:tbl>
    <w:p>
      <w:pPr>
        <w:pStyle w:val="Heading1"/>
        <w:spacing w:before="20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四、特征重要性对比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4535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特征</w:t>
            </w:r>
          </w:p>
        </w:tc>
        <w:tc>
          <w:tcPr>
            <w:tcW w:type="dxa" w:w="2268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旧 SHAP</w:t>
            </w:r>
          </w:p>
        </w:tc>
        <w:tc>
          <w:tcPr>
            <w:tcW w:type="dxa" w:w="2268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新 SHAP</w:t>
            </w:r>
          </w:p>
        </w:tc>
        <w:tc>
          <w:tcPr>
            <w:tcW w:type="dxa" w:w="2268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对比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Concentration (pM)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801.7726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801.7726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1.00×</w:t>
            </w:r>
          </w:p>
        </w:tc>
      </w:tr>
      <w:tr>
        <w:tc>
          <w:tcPr>
            <w:tcW w:type="dxa" w:w="4535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Acquisition Time (s)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601.3699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601.3699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1.00×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Flow Rate (μL/min)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348.3927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348.3927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1.00×</w:t>
            </w:r>
          </w:p>
        </w:tc>
      </w:tr>
      <w:tr>
        <w:tc>
          <w:tcPr>
            <w:tcW w:type="dxa" w:w="4535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Laser Power (mW)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181.4543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181.4543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1.00×</w:t>
            </w:r>
          </w:p>
        </w:tc>
      </w:tr>
    </w:tbl>
    <w:p>
      <w:pPr>
        <w:pStyle w:val="Heading1"/>
        <w:spacing w:before="20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五、特征排名变化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4535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特征</w:t>
            </w:r>
          </w:p>
        </w:tc>
        <w:tc>
          <w:tcPr>
            <w:tcW w:type="dxa" w:w="2268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旧排名</w:t>
            </w:r>
          </w:p>
        </w:tc>
        <w:tc>
          <w:tcPr>
            <w:tcW w:type="dxa" w:w="2268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新排名</w:t>
            </w:r>
          </w:p>
        </w:tc>
        <w:tc>
          <w:tcPr>
            <w:tcW w:type="dxa" w:w="2268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变化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Concentration (pM)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第 1 位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第 1 位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持平</w:t>
            </w:r>
          </w:p>
        </w:tc>
      </w:tr>
      <w:tr>
        <w:tc>
          <w:tcPr>
            <w:tcW w:type="dxa" w:w="4535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Acquisition Time (s)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第 2 位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第 2 位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持平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Flow Rate (μL/min)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第 3 位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第 3 位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持平</w:t>
            </w:r>
          </w:p>
        </w:tc>
      </w:tr>
      <w:tr>
        <w:tc>
          <w:tcPr>
            <w:tcW w:type="dxa" w:w="4535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Laser Power (mW)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第 4 位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第 4 位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持平</w:t>
            </w:r>
          </w:p>
        </w:tc>
      </w:tr>
    </w:tbl>
    <w:p>
      <w:pPr>
        <w:pStyle w:val="Heading1"/>
        <w:spacing w:before="20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六、关键差异归因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两批数据规模相近（旧 1090 vs 新 1023），结论可信。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新批次 laser=10 缺 C=160，但贡献小，影响有限。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新数据 Test R² 提升至 0.9954。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特征排序两批完全一致：C &gt; T &gt; F &gt; L。</w:t>
      </w:r>
    </w:p>
    <w:p>
      <w:pPr>
        <w:pStyle w:val="Heading1"/>
        <w:spacing w:before="20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七、结论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✅ 两批结论一致：拉曼强度预测中浓度与采集时间是核心驱动。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✅ Laser Power 在两批中均贡献最小（排第4），可固定到最优档。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✅ 模型 R² &gt; 0.99，信号强度可被实验条件充分解释。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