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新旧数据对比 — 分析2 — 平均值 / 筛选 RSD&lt;15%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一、本次分析概览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目标变量：拉曼强度平均值 (Raman Intensity Average)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本批数据：平均值 — 筛选RSD&lt;0.15（940行，新数据 8.31，修正后阈值）（940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旧批数据：平均值 — 筛选RSD&lt;0.15（940行，新数据 8.31，修正后阈值）（940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模型：GradientBoostingRegressor（同配置）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二、两批数据规模对比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39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样本数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940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940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档位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档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档，新批次 laser=10 缺 160)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单位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小数 (中位 0.063)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百分数 (中位 17.43)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三、模型表现对比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差异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0.9926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0.9926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151.2495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151.2495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62.6387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62.6387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四、特征重要性对比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对比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705.0720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705.0720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593.3416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593.3416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378.2859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378.2859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171.2789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171.2789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五、特征排名变化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变化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六、关键差异归因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旧数据 926 行（筛掉 15%），新数据 491 行（筛掉 52%）。新批次 RSD 整体偏高。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新数据 Test R² 降至 0.85，旧数据 0.99。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在低 RSD 子集上，新批次 Acq.Time 反超 Concentration 成为第一驱动。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RSD 阈值的选取需根据批次噪声水平适配。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⚠️ 旧批次 Acq.Time 在 #2 排第2，新批次升至 #1。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⚠️ RSD 阈值选取需考虑批次噪声水平。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严格筛选后激光功率贡献降至最低。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