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center"/>
      </w:pPr>
      <w:r>
        <w:rPr>
          <w:b/>
          <w:i w:val="0"/>
          <w:sz w:val="36"/>
          <w:rFonts w:ascii="Times New Roman" w:hAnsi="Times New Roman" w:cs="Times New Roman" w:eastAsia="宋体"/>
        </w:rPr>
        <w:t>RSD — 筛选剔除高RSD（1011行，新数据 8.31，剔除 RSD&gt;=0.30 的 12 行极端点）</w:t>
      </w:r>
    </w:p>
    <w:p/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一、数据信息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目标变量：相对标准差 (RSD, 无量纲小数 — 修正后)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分析类型：RSD — 筛选剔除高RSD（1011行，新数据 8.31，剔除 RSD&gt;=0.30 的 12 行极端点）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样本数量：1011 行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二、模型性能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模型：GradientBoostingRegressor（n_estimators=300, max_depth=5, learning_rate=0.05, subsample=0.8, random_state=42）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指标</w:t>
            </w:r>
          </w:p>
        </w:tc>
        <w:tc>
          <w:tcPr>
            <w:tcW w:type="dxa" w:w="45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数值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Train R²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0.9378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R²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0.7282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RMSE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0.0272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Test MAE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0.0183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三、特征重要性 (Mean |SHAP|)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5669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3402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Mean |SHAP|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Flow Rate (μL/min)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0.0215</w:t>
            </w:r>
          </w:p>
        </w:tc>
      </w:tr>
      <w:tr>
        <w:tc>
          <w:tcPr>
            <w:tcW w:type="dxa" w:w="566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Concentration (pM)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0.0209</w:t>
            </w:r>
          </w:p>
        </w:tc>
      </w:tr>
      <w:tr>
        <w:tc>
          <w:tcPr>
            <w:tcW w:type="dxa" w:w="5669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Acquisition Time (s)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0.0152</w:t>
            </w:r>
          </w:p>
        </w:tc>
      </w:tr>
      <w:tr>
        <w:tc>
          <w:tcPr>
            <w:tcW w:type="dxa" w:w="5669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Laser Power (mW)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0.0039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四、特征取值范围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4535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特征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最小值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最大值</w:t>
            </w:r>
          </w:p>
        </w:tc>
        <w:tc>
          <w:tcPr>
            <w:tcW w:type="dxa" w:w="2268"/>
            <w:shd w:val="clear" w:color="auto" w:fill="305496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  <w:rFonts w:ascii="Times New Roman" w:hAnsi="Times New Roman" w:cs="Times New Roman" w:eastAsia="宋体"/>
              </w:rPr>
              <w:t>均值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激光功率 (Laser Power, mW)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10.0000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50.0000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32.8684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浓度 (Concentration, pM)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5.0000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160.0000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50.3511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采集时间 (Acquisition Time, s)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0.1000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5.0000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2.4772</w:t>
            </w:r>
          </w:p>
        </w:tc>
      </w:tr>
      <w:tr>
        <w:tc>
          <w:tcPr>
            <w:tcW w:type="dxa" w:w="4535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流速 (Flow Rate, μL/min)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0.0000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1280.0000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b w:val="0"/>
                <w:i w:val="0"/>
                <w:sz w:val="20"/>
                <w:rFonts w:ascii="Times New Roman" w:hAnsi="Times New Roman" w:cs="Times New Roman" w:eastAsia="宋体"/>
              </w:rPr>
              <w:t>272.7399</w:t>
            </w:r>
          </w:p>
        </w:tc>
      </w:tr>
    </w:tbl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五、目标变量范围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最小值: 0.0010  最大值: 0.2942  均值: 0.0593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六、SHAP 图表</w:t>
      </w:r>
    </w:p>
    <w:p>
      <w:pPr>
        <w:spacing w:before="0" w:after="80" w:line="300" w:lineRule="auto"/>
      </w:pPr>
      <w:r>
        <w:rPr>
          <w:b w:val="0"/>
          <w:i w:val="0"/>
          <w:sz w:val="22"/>
          <w:rFonts w:ascii="Times New Roman" w:hAnsi="Times New Roman" w:cs="Times New Roman" w:eastAsia="宋体"/>
        </w:rPr>
        <w:t>注：下方图片已嵌入本报告；同时原始 PNG 也保存在本报告所在目录的 images/ 子目录中。</w:t>
      </w:r>
    </w:p>
    <w:p/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6.1 全局重要性（Bar Chart）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15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global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5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  全局特征重要性（Mean |SHAP value|）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6.2 Beeswarm 图（Summary）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346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beeswa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4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图2  SHAP Summary（Beeswarm）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6.3 单特征 SHAP 依赖图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864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laser_po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图3  激光功率 (Laser Power) 与SHAP依赖关系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811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concent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1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图4  浓度 (Concentration) 与SHAP依赖关系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731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acq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图5  采集时间 (Acquisition Time) 与SHAP依赖关系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704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flow_r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0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图6  流速 (Flow Rate) 与SHAP依赖关系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6.4 特征交互图（4 特征 × 6 对组合）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4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laser_power_x_concent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图7  交互：激光功率 × 浓度（着色）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356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laser_power_x_acq_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图8  交互：激光功率 × 采集时间（着色）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564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laser_power_x_flow_r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图9  交互：激光功率 × 流速（着色）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083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concentration_x_acq_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图10  交互：浓度 × 采集时间（着色）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287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concentration_x_flow_r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图11  交互：浓度 × 流速（着色）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202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_acq_time_x_flow_ra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图12  交互：采集时间 × 流速（着色）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6.5 局部解释（Waterfall）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060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local_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图13  SHAP局部解释 — 低值样本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427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local_mediu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图14  SHAP局部解释 — 中值样本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155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local_hig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5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图15  SHAP局部解释 — 高值样本</w:t>
      </w:r>
    </w:p>
    <w:p>
      <w:pPr>
        <w:pStyle w:val="Heading2"/>
        <w:spacing w:before="160" w:after="80"/>
      </w:pPr>
      <w:r>
        <w:rPr>
          <w:b/>
          <w:i w:val="0"/>
          <w:sz w:val="32"/>
          <w:rFonts w:ascii="Times New Roman" w:hAnsi="Times New Roman" w:cs="Times New Roman" w:eastAsia="宋体"/>
        </w:rPr>
        <w:t>6.6 Parity Plot：预测 vs 实际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905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parity_pl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0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i/>
          <w:sz w:val="20"/>
          <w:rFonts w:ascii="Times New Roman" w:hAnsi="Times New Roman" w:cs="Times New Roman" w:eastAsia="宋体"/>
        </w:rPr>
        <w:t>图16  Parity Plot：预测 vs 实际（与 y=x 参考线对比）</w:t>
      </w:r>
    </w:p>
    <w:p>
      <w:pPr>
        <w:pStyle w:val="Heading1"/>
        <w:spacing w:before="200" w:after="120"/>
      </w:pPr>
      <w:r>
        <w:rPr>
          <w:b/>
          <w:i w:val="0"/>
          <w:sz w:val="40"/>
          <w:rFonts w:ascii="Times New Roman" w:hAnsi="Times New Roman" w:cs="Times New Roman" w:eastAsia="宋体"/>
        </w:rPr>
        <w:t>七、结论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【剔 RSD≥0.30】删除 12 行高 RSD 异常点（主要是 flow=0 的 9 行）后，模型 Test R²=0.7282（4 个分析中最高，超过 #3 的 0.6995）。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流速 (Flow Rate) 第一（SHAP=0.0215），浓度 (Concentration) 第二（SHAP=0.0209）。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采集时间 (Acquisition Time) 第三（SHAP=0.0152），激光功率 (Laser Power) 第四（SHAP=0.0037）。</w:t>
      </w:r>
    </w:p>
    <w:p>
      <w:pPr>
        <w:pStyle w:val="ListBullet"/>
        <w:spacing w:after="40"/>
      </w:pPr>
      <w:r>
        <w:rPr>
          <w:b w:val="0"/>
          <w:i w:val="0"/>
          <w:sz w:val="22"/>
          <w:rFonts w:ascii="Times New Roman" w:hAnsi="Times New Roman" w:cs="Times New Roman" w:eastAsia="宋体"/>
        </w:rPr>
        <w:t>本方案替代原"排除 flow=0"：保留近全部 1011 行数据，SHAP 范围 0.004-0.022 更紧凑，方向与旧数据一致。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