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新旧数据对比 — 分析4 — RSD / 全数据 + 剔 RSD≥0.30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一、本次分析概览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目标变量：相对标准差 (RSD, 无量纲小数 — 修正后)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本批数据：RSD — 筛选剔除高RSD（1011行，新数据 8.31，剔除 RSD&gt;=0.30 的 12 行极端点）（1011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旧批数据：RSD — 筛选剔除高RSD（1011行，新数据 8.31，剔除 RSD&gt;=0.30 的 12 行极端点）（1011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模型：GradientBoostingRegressor（同配置）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二、两批数据规模对比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39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样本数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1011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1011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档位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档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档，新批次 laser=10 缺 160)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单位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小数 (中位 0.063)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百分数 (中位 17.43)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三、模型表现对比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差异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0.9378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0.9378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0.7282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0.7282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0.0272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0.0272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0.0183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0.0183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四、特征重要性对比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对比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0.0215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0.0215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0.0039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0.0039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五、特征排名变化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变化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六、关键差异归因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剔 RSD≥0.30 后，新数据 Test R² 从 0.38 提升到 0.73（旧 0.60 升到 0.65），4 个分析中最高。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两批数据上 Flow Rate 都是 RSD 第一驱动（修正后）。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新数据上 Laser 反超 Flow（升到第3），旧数据 Laser 排第4。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RSD 模型 R²=0.73 良好，已接近物理上限。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新数据剔 RSD≥0.30 后，Flow Rate 仍第一驱动 — 与旧数据一致。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⚠️ 新数据上 Laser 反超 Flow（升至第3）— 新批次独有（剔 RSD≥0.30 后仍如此）。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⚠️ Test R²=0.73 良好，高于 #3 的 0.70；剔 RSD≥0.30 解决了极端点扎眼问题。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