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7B86" w14:textId="175BABB9" w:rsidR="00816891" w:rsidRPr="00816891" w:rsidRDefault="00816891" w:rsidP="00816891">
      <w:pPr>
        <w:rPr>
          <w:lang w:val="en-GB"/>
        </w:rPr>
      </w:pPr>
      <w:r w:rsidRPr="00816891">
        <w:rPr>
          <w:b/>
          <w:bCs/>
        </w:rPr>
        <w:t>Persona:</w:t>
      </w:r>
      <w:r w:rsidRPr="00816891">
        <w:t xml:space="preserve"> </w:t>
      </w:r>
      <w:r w:rsidRPr="00816891">
        <w:rPr>
          <w:lang w:val="en-GB"/>
        </w:rPr>
        <w:t>Lead AI Engineer and Localization Strategist.</w:t>
      </w:r>
    </w:p>
    <w:p w14:paraId="425E9354" w14:textId="77777777" w:rsidR="00816891" w:rsidRPr="00816891" w:rsidRDefault="00816891" w:rsidP="00816891">
      <w:pPr>
        <w:rPr>
          <w:lang w:val="en-GB"/>
        </w:rPr>
      </w:pPr>
      <w:r w:rsidRPr="00816891">
        <w:rPr>
          <w:b/>
          <w:bCs/>
          <w:lang w:val="en-GB"/>
        </w:rPr>
        <w:t>Instructions:</w:t>
      </w:r>
      <w:r w:rsidRPr="00816891">
        <w:rPr>
          <w:lang w:val="en-GB"/>
        </w:rPr>
        <w:t xml:space="preserve"> Audit </w:t>
      </w:r>
      <w:proofErr w:type="spellStart"/>
      <w:r w:rsidRPr="00816891">
        <w:rPr>
          <w:lang w:val="en-GB"/>
        </w:rPr>
        <w:t>DeepL</w:t>
      </w:r>
      <w:proofErr w:type="spellEnd"/>
      <w:r w:rsidRPr="00816891">
        <w:rPr>
          <w:lang w:val="en-GB"/>
        </w:rPr>
        <w:t xml:space="preserve"> and OpenAI for use in a </w:t>
      </w:r>
      <w:proofErr w:type="spellStart"/>
      <w:r w:rsidRPr="00816891">
        <w:rPr>
          <w:b/>
          <w:bCs/>
          <w:lang w:val="en-GB"/>
        </w:rPr>
        <w:t>TanStack</w:t>
      </w:r>
      <w:proofErr w:type="spellEnd"/>
      <w:r w:rsidRPr="00816891">
        <w:rPr>
          <w:b/>
          <w:bCs/>
          <w:lang w:val="en-GB"/>
        </w:rPr>
        <w:t xml:space="preserve"> Start</w:t>
      </w:r>
      <w:r w:rsidRPr="00816891">
        <w:rPr>
          <w:lang w:val="en-GB"/>
        </w:rPr>
        <w:t xml:space="preserve"> application. Determine the "Golden Path" for combining these tools for a premium Finnish website.</w:t>
      </w:r>
    </w:p>
    <w:p w14:paraId="4146DA94" w14:textId="77777777" w:rsidR="00816891" w:rsidRPr="00816891" w:rsidRDefault="00816891" w:rsidP="00816891">
      <w:r w:rsidRPr="00816891">
        <w:rPr>
          <w:b/>
          <w:bCs/>
        </w:rPr>
        <w:t xml:space="preserve">Audit </w:t>
      </w:r>
      <w:proofErr w:type="spellStart"/>
      <w:r w:rsidRPr="00816891">
        <w:rPr>
          <w:b/>
          <w:bCs/>
        </w:rPr>
        <w:t>Dimensions</w:t>
      </w:r>
      <w:proofErr w:type="spellEnd"/>
      <w:r w:rsidRPr="00816891">
        <w:rPr>
          <w:b/>
          <w:bCs/>
        </w:rPr>
        <w:t>:</w:t>
      </w:r>
    </w:p>
    <w:p w14:paraId="563C2A2B" w14:textId="77777777" w:rsidR="00816891" w:rsidRPr="00816891" w:rsidRDefault="00816891" w:rsidP="00816891">
      <w:pPr>
        <w:numPr>
          <w:ilvl w:val="0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Translation Fidelity (The "Finnish" Test):</w:t>
      </w:r>
    </w:p>
    <w:p w14:paraId="5D2A9B9F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Fluency vs. Logic:</w:t>
      </w:r>
      <w:r w:rsidRPr="00816891">
        <w:rPr>
          <w:lang w:val="en-GB"/>
        </w:rPr>
        <w:t xml:space="preserve"> Does </w:t>
      </w:r>
      <w:proofErr w:type="spellStart"/>
      <w:r w:rsidRPr="00816891">
        <w:rPr>
          <w:lang w:val="en-GB"/>
        </w:rPr>
        <w:t>DeepL</w:t>
      </w:r>
      <w:proofErr w:type="spellEnd"/>
      <w:r w:rsidRPr="00816891">
        <w:rPr>
          <w:lang w:val="en-GB"/>
        </w:rPr>
        <w:t xml:space="preserve"> still hold the lead for "natural" Finnish phrasing, or has GPT-5 closed the gap?</w:t>
      </w:r>
    </w:p>
    <w:p w14:paraId="46A10119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Glossary Support:</w:t>
      </w:r>
      <w:r w:rsidRPr="00816891">
        <w:rPr>
          <w:lang w:val="en-GB"/>
        </w:rPr>
        <w:t xml:space="preserve"> How effectively can we enforce brand-specific Finnish terminology across both APIs?</w:t>
      </w:r>
    </w:p>
    <w:p w14:paraId="29B3E9DC" w14:textId="77777777" w:rsidR="00816891" w:rsidRPr="00816891" w:rsidRDefault="00816891" w:rsidP="00816891">
      <w:pPr>
        <w:numPr>
          <w:ilvl w:val="0"/>
          <w:numId w:val="1"/>
        </w:numPr>
      </w:pPr>
      <w:r w:rsidRPr="00816891">
        <w:rPr>
          <w:b/>
          <w:bCs/>
        </w:rPr>
        <w:t xml:space="preserve">Developer </w:t>
      </w:r>
      <w:proofErr w:type="spellStart"/>
      <w:r w:rsidRPr="00816891">
        <w:rPr>
          <w:b/>
          <w:bCs/>
        </w:rPr>
        <w:t>Experience</w:t>
      </w:r>
      <w:proofErr w:type="spellEnd"/>
      <w:r w:rsidRPr="00816891">
        <w:rPr>
          <w:b/>
          <w:bCs/>
        </w:rPr>
        <w:t xml:space="preserve"> &amp; </w:t>
      </w:r>
      <w:proofErr w:type="spellStart"/>
      <w:r w:rsidRPr="00816891">
        <w:rPr>
          <w:b/>
          <w:bCs/>
        </w:rPr>
        <w:t>TanStack</w:t>
      </w:r>
      <w:proofErr w:type="spellEnd"/>
      <w:r w:rsidRPr="00816891">
        <w:rPr>
          <w:b/>
          <w:bCs/>
        </w:rPr>
        <w:t xml:space="preserve"> </w:t>
      </w:r>
      <w:proofErr w:type="spellStart"/>
      <w:r w:rsidRPr="00816891">
        <w:rPr>
          <w:b/>
          <w:bCs/>
        </w:rPr>
        <w:t>Integration</w:t>
      </w:r>
      <w:proofErr w:type="spellEnd"/>
      <w:r w:rsidRPr="00816891">
        <w:rPr>
          <w:b/>
          <w:bCs/>
        </w:rPr>
        <w:t>:</w:t>
      </w:r>
    </w:p>
    <w:p w14:paraId="761F653A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proofErr w:type="spellStart"/>
      <w:r w:rsidRPr="00816891">
        <w:rPr>
          <w:b/>
          <w:bCs/>
          <w:lang w:val="en-GB"/>
        </w:rPr>
        <w:t>TanStack</w:t>
      </w:r>
      <w:proofErr w:type="spellEnd"/>
      <w:r w:rsidRPr="00816891">
        <w:rPr>
          <w:b/>
          <w:bCs/>
          <w:lang w:val="en-GB"/>
        </w:rPr>
        <w:t xml:space="preserve"> AI Adapters:</w:t>
      </w:r>
      <w:r w:rsidRPr="00816891">
        <w:rPr>
          <w:lang w:val="en-GB"/>
        </w:rPr>
        <w:t xml:space="preserve"> Identify the best way to use @tanstack/ai-openai or custom fetchers for </w:t>
      </w:r>
      <w:proofErr w:type="spellStart"/>
      <w:r w:rsidRPr="00816891">
        <w:rPr>
          <w:lang w:val="en-GB"/>
        </w:rPr>
        <w:t>DeepL</w:t>
      </w:r>
      <w:proofErr w:type="spellEnd"/>
      <w:r w:rsidRPr="00816891">
        <w:rPr>
          <w:lang w:val="en-GB"/>
        </w:rPr>
        <w:t xml:space="preserve"> within </w:t>
      </w:r>
      <w:proofErr w:type="spellStart"/>
      <w:r w:rsidRPr="00816891">
        <w:rPr>
          <w:lang w:val="en-GB"/>
        </w:rPr>
        <w:t>createServerFn</w:t>
      </w:r>
      <w:proofErr w:type="spellEnd"/>
      <w:r w:rsidRPr="00816891">
        <w:rPr>
          <w:lang w:val="en-GB"/>
        </w:rPr>
        <w:t>.</w:t>
      </w:r>
    </w:p>
    <w:p w14:paraId="2D7B46C7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Streaming:</w:t>
      </w:r>
      <w:r w:rsidRPr="00816891">
        <w:rPr>
          <w:lang w:val="en-GB"/>
        </w:rPr>
        <w:t xml:space="preserve"> Compare OpenAI’s Server-Sent Events (SSE) streaming vs. </w:t>
      </w:r>
      <w:proofErr w:type="spellStart"/>
      <w:r w:rsidRPr="00816891">
        <w:rPr>
          <w:lang w:val="en-GB"/>
        </w:rPr>
        <w:t>DeepL’s</w:t>
      </w:r>
      <w:proofErr w:type="spellEnd"/>
      <w:r w:rsidRPr="00816891">
        <w:rPr>
          <w:lang w:val="en-GB"/>
        </w:rPr>
        <w:t xml:space="preserve"> traditional REST response times for UI loading states.</w:t>
      </w:r>
    </w:p>
    <w:p w14:paraId="6D56F890" w14:textId="77777777" w:rsidR="00816891" w:rsidRPr="00816891" w:rsidRDefault="00816891" w:rsidP="00816891">
      <w:pPr>
        <w:numPr>
          <w:ilvl w:val="0"/>
          <w:numId w:val="1"/>
        </w:numPr>
      </w:pPr>
      <w:proofErr w:type="spellStart"/>
      <w:r w:rsidRPr="00816891">
        <w:rPr>
          <w:b/>
          <w:bCs/>
        </w:rPr>
        <w:t>Infrastructure</w:t>
      </w:r>
      <w:proofErr w:type="spellEnd"/>
      <w:r w:rsidRPr="00816891">
        <w:rPr>
          <w:b/>
          <w:bCs/>
        </w:rPr>
        <w:t xml:space="preserve"> &amp; </w:t>
      </w:r>
      <w:proofErr w:type="spellStart"/>
      <w:r w:rsidRPr="00816891">
        <w:rPr>
          <w:b/>
          <w:bCs/>
        </w:rPr>
        <w:t>Serverless</w:t>
      </w:r>
      <w:proofErr w:type="spellEnd"/>
      <w:r w:rsidRPr="00816891">
        <w:rPr>
          <w:b/>
          <w:bCs/>
        </w:rPr>
        <w:t xml:space="preserve"> Readiness:</w:t>
      </w:r>
    </w:p>
    <w:p w14:paraId="3C8A95F6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Latency:</w:t>
      </w:r>
      <w:r w:rsidRPr="00816891">
        <w:rPr>
          <w:lang w:val="en-GB"/>
        </w:rPr>
        <w:t xml:space="preserve"> </w:t>
      </w:r>
      <w:proofErr w:type="spellStart"/>
      <w:r w:rsidRPr="00816891">
        <w:rPr>
          <w:lang w:val="en-GB"/>
        </w:rPr>
        <w:t>Analyze</w:t>
      </w:r>
      <w:proofErr w:type="spellEnd"/>
      <w:r w:rsidRPr="00816891">
        <w:rPr>
          <w:lang w:val="en-GB"/>
        </w:rPr>
        <w:t xml:space="preserve"> API response times for small strings (UI labels) vs. large blocks (Blog posts).</w:t>
      </w:r>
    </w:p>
    <w:p w14:paraId="2BA7DCB4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Error Handling:</w:t>
      </w:r>
      <w:r w:rsidRPr="00816891">
        <w:rPr>
          <w:lang w:val="en-GB"/>
        </w:rPr>
        <w:t xml:space="preserve"> How do both tools handle rate limits during a Netlify serverless execution?</w:t>
      </w:r>
    </w:p>
    <w:p w14:paraId="61CAB32A" w14:textId="77777777" w:rsidR="00816891" w:rsidRPr="00816891" w:rsidRDefault="00816891" w:rsidP="00816891">
      <w:pPr>
        <w:numPr>
          <w:ilvl w:val="0"/>
          <w:numId w:val="1"/>
        </w:numPr>
      </w:pPr>
      <w:r w:rsidRPr="00816891">
        <w:rPr>
          <w:b/>
          <w:bCs/>
        </w:rPr>
        <w:t xml:space="preserve">Commercial </w:t>
      </w:r>
      <w:proofErr w:type="spellStart"/>
      <w:r w:rsidRPr="00816891">
        <w:rPr>
          <w:b/>
          <w:bCs/>
        </w:rPr>
        <w:t>Strategy</w:t>
      </w:r>
      <w:proofErr w:type="spellEnd"/>
      <w:r w:rsidRPr="00816891">
        <w:rPr>
          <w:b/>
          <w:bCs/>
        </w:rPr>
        <w:t>:</w:t>
      </w:r>
    </w:p>
    <w:p w14:paraId="384840ED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Hybrid Approach:</w:t>
      </w:r>
      <w:r w:rsidRPr="00816891">
        <w:rPr>
          <w:lang w:val="en-GB"/>
        </w:rPr>
        <w:t xml:space="preserve"> Is it more cost-effective to use </w:t>
      </w:r>
      <w:proofErr w:type="spellStart"/>
      <w:r w:rsidRPr="00816891">
        <w:rPr>
          <w:lang w:val="en-GB"/>
        </w:rPr>
        <w:t>DeepL</w:t>
      </w:r>
      <w:proofErr w:type="spellEnd"/>
      <w:r w:rsidRPr="00816891">
        <w:rPr>
          <w:lang w:val="en-GB"/>
        </w:rPr>
        <w:t xml:space="preserve"> for the "Static UI" and OpenAI for "Dynamic User Content"?</w:t>
      </w:r>
    </w:p>
    <w:p w14:paraId="46EFA8CD" w14:textId="77777777" w:rsidR="00816891" w:rsidRPr="00816891" w:rsidRDefault="00816891" w:rsidP="00816891">
      <w:pPr>
        <w:numPr>
          <w:ilvl w:val="1"/>
          <w:numId w:val="1"/>
        </w:numPr>
        <w:rPr>
          <w:lang w:val="en-GB"/>
        </w:rPr>
      </w:pPr>
      <w:r w:rsidRPr="00816891">
        <w:rPr>
          <w:b/>
          <w:bCs/>
          <w:lang w:val="en-GB"/>
        </w:rPr>
        <w:t>Scaling:</w:t>
      </w:r>
      <w:r w:rsidRPr="00816891">
        <w:rPr>
          <w:lang w:val="en-GB"/>
        </w:rPr>
        <w:t xml:space="preserve"> Project costs for 1 million translated words per month in both services.</w:t>
      </w:r>
    </w:p>
    <w:p w14:paraId="732B9F1B" w14:textId="77777777" w:rsidR="00816891" w:rsidRPr="00816891" w:rsidRDefault="00816891" w:rsidP="00816891">
      <w:pPr>
        <w:rPr>
          <w:lang w:val="en-GB"/>
        </w:rPr>
      </w:pPr>
      <w:r w:rsidRPr="00816891">
        <w:rPr>
          <w:b/>
          <w:bCs/>
          <w:lang w:val="en-GB"/>
        </w:rPr>
        <w:t>Formatting:</w:t>
      </w:r>
      <w:r w:rsidRPr="00816891">
        <w:rPr>
          <w:lang w:val="en-GB"/>
        </w:rPr>
        <w:t xml:space="preserve"> Use headers for each tool. Include a </w:t>
      </w:r>
      <w:r w:rsidRPr="00816891">
        <w:rPr>
          <w:b/>
          <w:bCs/>
          <w:lang w:val="en-GB"/>
        </w:rPr>
        <w:t>"Decision Logic Tree"</w:t>
      </w:r>
      <w:r w:rsidRPr="00816891">
        <w:rPr>
          <w:lang w:val="en-GB"/>
        </w:rPr>
        <w:t xml:space="preserve"> (e.g., "If [Task], then use [API]").</w:t>
      </w:r>
    </w:p>
    <w:p w14:paraId="176B1F2B" w14:textId="77777777" w:rsidR="009657B4" w:rsidRPr="00816891" w:rsidRDefault="009657B4">
      <w:pPr>
        <w:rPr>
          <w:lang w:val="en-GB"/>
        </w:rPr>
      </w:pPr>
    </w:p>
    <w:sectPr w:rsidR="009657B4" w:rsidRPr="00816891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F4708"/>
    <w:multiLevelType w:val="multilevel"/>
    <w:tmpl w:val="6158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14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91"/>
    <w:rsid w:val="001A292C"/>
    <w:rsid w:val="002D328D"/>
    <w:rsid w:val="00601E6B"/>
    <w:rsid w:val="00812D38"/>
    <w:rsid w:val="00816891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BFCC1"/>
  <w15:chartTrackingRefBased/>
  <w15:docId w15:val="{BA194394-65BD-40AD-AE39-572FC761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1198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2026-01-02T21:49:00Z</dcterms:created>
  <dcterms:modified xsi:type="dcterms:W3CDTF">2026-01-02T21:50:00Z</dcterms:modified>
</cp:coreProperties>
</file>