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D90C" w14:textId="77777777" w:rsidR="00025189" w:rsidRPr="00025189" w:rsidRDefault="00025189" w:rsidP="00025189">
      <w:pPr>
        <w:rPr>
          <w:lang w:val="en-GB"/>
        </w:rPr>
      </w:pPr>
      <w:r w:rsidRPr="00025189">
        <w:rPr>
          <w:lang w:val="en-GB"/>
        </w:rPr>
        <w:t xml:space="preserve">Your proposed tech stack creates a </w:t>
      </w:r>
      <w:r w:rsidRPr="00025189">
        <w:rPr>
          <w:b/>
          <w:bCs/>
          <w:lang w:val="en-GB"/>
        </w:rPr>
        <w:t>modular, type-safe, and highly scalable architecture</w:t>
      </w:r>
      <w:r w:rsidRPr="00025189">
        <w:rPr>
          <w:lang w:val="en-GB"/>
        </w:rPr>
        <w:t xml:space="preserve"> specifically optimized for modern "Web-Native" development. By leveraging the </w:t>
      </w:r>
      <w:proofErr w:type="spellStart"/>
      <w:r w:rsidRPr="00025189">
        <w:rPr>
          <w:b/>
          <w:bCs/>
          <w:lang w:val="en-GB"/>
        </w:rPr>
        <w:t>TanStack</w:t>
      </w:r>
      <w:proofErr w:type="spellEnd"/>
      <w:r w:rsidRPr="00025189">
        <w:rPr>
          <w:b/>
          <w:bCs/>
          <w:lang w:val="en-GB"/>
        </w:rPr>
        <w:t xml:space="preserve"> ecosystem</w:t>
      </w:r>
      <w:r w:rsidRPr="00025189">
        <w:rPr>
          <w:lang w:val="en-GB"/>
        </w:rPr>
        <w:t xml:space="preserve"> as your core, you are adopting a paradigm that prioritizes explicit architecture and end-to-end type safety over framework-specific "black-box" magic.</w:t>
      </w:r>
    </w:p>
    <w:p w14:paraId="1A3E7488" w14:textId="77777777" w:rsidR="00025189" w:rsidRPr="00025189" w:rsidRDefault="00025189" w:rsidP="00025189">
      <w:pPr>
        <w:rPr>
          <w:b/>
          <w:bCs/>
          <w:lang w:val="en-GB"/>
        </w:rPr>
      </w:pPr>
      <w:r w:rsidRPr="00025189">
        <w:rPr>
          <w:b/>
          <w:bCs/>
          <w:lang w:val="en-GB"/>
        </w:rPr>
        <w:t>Tech Stack and Infrastructure Description</w:t>
      </w:r>
    </w:p>
    <w:p w14:paraId="690950B5" w14:textId="77777777" w:rsidR="00025189" w:rsidRPr="00025189" w:rsidRDefault="00025189" w:rsidP="00025189">
      <w:pPr>
        <w:rPr>
          <w:b/>
          <w:bCs/>
          <w:lang w:val="en-GB"/>
        </w:rPr>
      </w:pPr>
      <w:r w:rsidRPr="00025189">
        <w:rPr>
          <w:b/>
          <w:bCs/>
          <w:lang w:val="en-GB"/>
        </w:rPr>
        <w:t xml:space="preserve">1. Framework and Routing: </w:t>
      </w:r>
      <w:proofErr w:type="spellStart"/>
      <w:r w:rsidRPr="00025189">
        <w:rPr>
          <w:b/>
          <w:bCs/>
          <w:lang w:val="en-GB"/>
        </w:rPr>
        <w:t>TanStack</w:t>
      </w:r>
      <w:proofErr w:type="spellEnd"/>
      <w:r w:rsidRPr="00025189">
        <w:rPr>
          <w:b/>
          <w:bCs/>
          <w:lang w:val="en-GB"/>
        </w:rPr>
        <w:t xml:space="preserve"> Start</w:t>
      </w:r>
    </w:p>
    <w:p w14:paraId="256A1EA6" w14:textId="77777777" w:rsidR="00025189" w:rsidRPr="00025189" w:rsidRDefault="00025189" w:rsidP="00025189">
      <w:pPr>
        <w:rPr>
          <w:lang w:val="en-GB"/>
        </w:rPr>
      </w:pPr>
      <w:proofErr w:type="spellStart"/>
      <w:r w:rsidRPr="00025189">
        <w:rPr>
          <w:b/>
          <w:bCs/>
          <w:lang w:val="en-GB"/>
        </w:rPr>
        <w:t>TanStack</w:t>
      </w:r>
      <w:proofErr w:type="spellEnd"/>
      <w:r w:rsidRPr="00025189">
        <w:rPr>
          <w:b/>
          <w:bCs/>
          <w:lang w:val="en-GB"/>
        </w:rPr>
        <w:t xml:space="preserve"> Start</w:t>
      </w:r>
      <w:r w:rsidRPr="00025189">
        <w:rPr>
          <w:lang w:val="en-GB"/>
        </w:rPr>
        <w:t xml:space="preserve"> serves as the primary orchestrator, combining </w:t>
      </w:r>
      <w:proofErr w:type="spellStart"/>
      <w:r w:rsidRPr="00025189">
        <w:rPr>
          <w:b/>
          <w:bCs/>
          <w:lang w:val="en-GB"/>
        </w:rPr>
        <w:t>TanStack</w:t>
      </w:r>
      <w:proofErr w:type="spellEnd"/>
      <w:r w:rsidRPr="00025189">
        <w:rPr>
          <w:b/>
          <w:bCs/>
          <w:lang w:val="en-GB"/>
        </w:rPr>
        <w:t xml:space="preserve"> Router, Query, and the Nitro server engine</w:t>
      </w:r>
      <w:r w:rsidRPr="00025189">
        <w:rPr>
          <w:lang w:val="en-GB"/>
        </w:rPr>
        <w:t xml:space="preserve"> to provide a </w:t>
      </w:r>
      <w:proofErr w:type="gramStart"/>
      <w:r w:rsidRPr="00025189">
        <w:rPr>
          <w:lang w:val="en-GB"/>
        </w:rPr>
        <w:t>full-stack</w:t>
      </w:r>
      <w:proofErr w:type="gramEnd"/>
      <w:r w:rsidRPr="00025189">
        <w:rPr>
          <w:lang w:val="en-GB"/>
        </w:rPr>
        <w:t xml:space="preserve"> React environment. It facilitates </w:t>
      </w:r>
      <w:r w:rsidRPr="00025189">
        <w:rPr>
          <w:b/>
          <w:bCs/>
          <w:lang w:val="en-GB"/>
        </w:rPr>
        <w:t>Server-Side Rendering (SSR) and Streaming</w:t>
      </w:r>
      <w:r w:rsidRPr="00025189">
        <w:rPr>
          <w:lang w:val="en-GB"/>
        </w:rPr>
        <w:t xml:space="preserve">, allowing high-priority page content to be delivered immediately while slower data is streamed in as it resolves. The framework uses </w:t>
      </w:r>
      <w:r w:rsidRPr="00025189">
        <w:rPr>
          <w:b/>
          <w:bCs/>
          <w:lang w:val="en-GB"/>
        </w:rPr>
        <w:t>Server Functions</w:t>
      </w:r>
      <w:r w:rsidRPr="00025189">
        <w:rPr>
          <w:lang w:val="en-GB"/>
        </w:rPr>
        <w:t xml:space="preserve"> as type-safe Remote Procedure Calls (RPCs), ensuring that logic guaranteed to run only on the server—such as database interactions—remains secure while appearing as simple asynchronous functions to the client.</w:t>
      </w:r>
    </w:p>
    <w:p w14:paraId="7326998C" w14:textId="77777777" w:rsidR="00025189" w:rsidRPr="00025189" w:rsidRDefault="00025189" w:rsidP="00025189">
      <w:pPr>
        <w:rPr>
          <w:b/>
          <w:bCs/>
          <w:lang w:val="en-GB"/>
        </w:rPr>
      </w:pPr>
      <w:r w:rsidRPr="00025189">
        <w:rPr>
          <w:b/>
          <w:bCs/>
          <w:lang w:val="en-GB"/>
        </w:rPr>
        <w:t>2. Authentication: Clerk</w:t>
      </w:r>
    </w:p>
    <w:p w14:paraId="2ADD887F" w14:textId="77777777" w:rsidR="00025189" w:rsidRPr="00025189" w:rsidRDefault="00025189" w:rsidP="00025189">
      <w:pPr>
        <w:rPr>
          <w:lang w:val="en-GB"/>
        </w:rPr>
      </w:pPr>
      <w:r w:rsidRPr="00025189">
        <w:rPr>
          <w:b/>
          <w:bCs/>
          <w:lang w:val="en-GB"/>
        </w:rPr>
        <w:t>Clerk</w:t>
      </w:r>
      <w:r w:rsidRPr="00025189">
        <w:rPr>
          <w:lang w:val="en-GB"/>
        </w:rPr>
        <w:t xml:space="preserve"> acts as a "React-first" Identity-as-a-Service (IDaaS) provider, offering dedicated SDKs like @clerk/tanstack-react-start to sync authentication state across client and server boundaries. It utilizes a </w:t>
      </w:r>
      <w:r w:rsidRPr="00025189">
        <w:rPr>
          <w:b/>
          <w:bCs/>
          <w:lang w:val="en-GB"/>
        </w:rPr>
        <w:t>dual-token system</w:t>
      </w:r>
      <w:r w:rsidRPr="00025189">
        <w:rPr>
          <w:lang w:val="en-GB"/>
        </w:rPr>
        <w:t xml:space="preserve"> with short-lived (60-second) Session JWTs to balance high-performance stateless verification on the backend with real-time session revocation. This is particularly beneficial for your </w:t>
      </w:r>
      <w:r w:rsidRPr="00025189">
        <w:rPr>
          <w:b/>
          <w:bCs/>
          <w:lang w:val="en-GB"/>
        </w:rPr>
        <w:t>Netlify</w:t>
      </w:r>
      <w:r w:rsidRPr="00025189">
        <w:rPr>
          <w:lang w:val="en-GB"/>
        </w:rPr>
        <w:t xml:space="preserve"> deployment, as Clerk’s middleware can perform authentication checks at the network edge in under 100ms.</w:t>
      </w:r>
    </w:p>
    <w:p w14:paraId="0FCA34B3" w14:textId="77777777" w:rsidR="00025189" w:rsidRPr="00025189" w:rsidRDefault="00025189" w:rsidP="00025189">
      <w:pPr>
        <w:rPr>
          <w:b/>
          <w:bCs/>
          <w:lang w:val="en-GB"/>
        </w:rPr>
      </w:pPr>
      <w:r w:rsidRPr="00025189">
        <w:rPr>
          <w:b/>
          <w:bCs/>
          <w:lang w:val="en-GB"/>
        </w:rPr>
        <w:t xml:space="preserve">3. Data Management: </w:t>
      </w:r>
      <w:proofErr w:type="spellStart"/>
      <w:r w:rsidRPr="00025189">
        <w:rPr>
          <w:b/>
          <w:bCs/>
          <w:lang w:val="en-GB"/>
        </w:rPr>
        <w:t>Supabase</w:t>
      </w:r>
      <w:proofErr w:type="spellEnd"/>
    </w:p>
    <w:p w14:paraId="5B547238" w14:textId="77777777" w:rsidR="00025189" w:rsidRPr="00025189" w:rsidRDefault="00025189" w:rsidP="00025189">
      <w:pPr>
        <w:rPr>
          <w:lang w:val="en-GB"/>
        </w:rPr>
      </w:pPr>
      <w:proofErr w:type="spellStart"/>
      <w:r w:rsidRPr="00025189">
        <w:rPr>
          <w:b/>
          <w:bCs/>
          <w:lang w:val="en-GB"/>
        </w:rPr>
        <w:t>Supabase</w:t>
      </w:r>
      <w:proofErr w:type="spellEnd"/>
      <w:r w:rsidRPr="00025189">
        <w:rPr>
          <w:lang w:val="en-GB"/>
        </w:rPr>
        <w:t xml:space="preserve"> provides a </w:t>
      </w:r>
      <w:r w:rsidRPr="00025189">
        <w:rPr>
          <w:b/>
          <w:bCs/>
          <w:lang w:val="en-GB"/>
        </w:rPr>
        <w:t>vanilla PostgreSQL instance</w:t>
      </w:r>
      <w:r w:rsidRPr="00025189">
        <w:rPr>
          <w:lang w:val="en-GB"/>
        </w:rPr>
        <w:t xml:space="preserve"> that is fully ACID-compliant and portable. For serverless environments like Netlify, </w:t>
      </w:r>
      <w:proofErr w:type="spellStart"/>
      <w:r w:rsidRPr="00025189">
        <w:rPr>
          <w:lang w:val="en-GB"/>
        </w:rPr>
        <w:t>Supabase</w:t>
      </w:r>
      <w:proofErr w:type="spellEnd"/>
      <w:r w:rsidRPr="00025189">
        <w:rPr>
          <w:lang w:val="en-GB"/>
        </w:rPr>
        <w:t xml:space="preserve"> utilizes </w:t>
      </w:r>
      <w:proofErr w:type="spellStart"/>
      <w:r w:rsidRPr="00025189">
        <w:rPr>
          <w:b/>
          <w:bCs/>
          <w:lang w:val="en-GB"/>
        </w:rPr>
        <w:t>Supavisor</w:t>
      </w:r>
      <w:proofErr w:type="spellEnd"/>
      <w:r w:rsidRPr="00025189">
        <w:rPr>
          <w:lang w:val="en-GB"/>
        </w:rPr>
        <w:t xml:space="preserve">, a cloud-native connection pooler, and </w:t>
      </w:r>
      <w:proofErr w:type="spellStart"/>
      <w:r w:rsidRPr="00025189">
        <w:rPr>
          <w:b/>
          <w:bCs/>
          <w:lang w:val="en-GB"/>
        </w:rPr>
        <w:t>PostgREST</w:t>
      </w:r>
      <w:proofErr w:type="spellEnd"/>
      <w:r w:rsidRPr="00025189">
        <w:rPr>
          <w:lang w:val="en-GB"/>
        </w:rPr>
        <w:t xml:space="preserve">, which exposes the database over HTTP to avoid the "too many connections" errors common in stateless functions. You can implement </w:t>
      </w:r>
      <w:r w:rsidRPr="00025189">
        <w:rPr>
          <w:b/>
          <w:bCs/>
          <w:lang w:val="en-GB"/>
        </w:rPr>
        <w:t>Row-Level Security (RLS)</w:t>
      </w:r>
      <w:r w:rsidRPr="00025189">
        <w:rPr>
          <w:lang w:val="en-GB"/>
        </w:rPr>
        <w:t xml:space="preserve"> within </w:t>
      </w:r>
      <w:proofErr w:type="spellStart"/>
      <w:r w:rsidRPr="00025189">
        <w:rPr>
          <w:lang w:val="en-GB"/>
        </w:rPr>
        <w:t>Supabase</w:t>
      </w:r>
      <w:proofErr w:type="spellEnd"/>
      <w:r w:rsidRPr="00025189">
        <w:rPr>
          <w:lang w:val="en-GB"/>
        </w:rPr>
        <w:t xml:space="preserve"> to ensure that user-level isolation is enforced directly at the database layer.</w:t>
      </w:r>
    </w:p>
    <w:p w14:paraId="51AEBB37" w14:textId="77777777" w:rsidR="00025189" w:rsidRPr="00025189" w:rsidRDefault="00025189" w:rsidP="00025189">
      <w:pPr>
        <w:rPr>
          <w:b/>
          <w:bCs/>
          <w:lang w:val="en-GB"/>
        </w:rPr>
      </w:pPr>
      <w:r w:rsidRPr="00025189">
        <w:rPr>
          <w:b/>
          <w:bCs/>
          <w:lang w:val="en-GB"/>
        </w:rPr>
        <w:t>4. Media Handling: Cloudflare R2</w:t>
      </w:r>
    </w:p>
    <w:p w14:paraId="375103E6" w14:textId="77777777" w:rsidR="00025189" w:rsidRPr="00025189" w:rsidRDefault="00025189" w:rsidP="00025189">
      <w:pPr>
        <w:rPr>
          <w:lang w:val="en-GB"/>
        </w:rPr>
      </w:pPr>
      <w:r w:rsidRPr="00025189">
        <w:rPr>
          <w:b/>
          <w:bCs/>
          <w:lang w:val="en-GB"/>
        </w:rPr>
        <w:t>Cloudflare R2</w:t>
      </w:r>
      <w:r w:rsidRPr="00025189">
        <w:rPr>
          <w:lang w:val="en-GB"/>
        </w:rPr>
        <w:t xml:space="preserve"> is a distributed object storage solution that eliminates the </w:t>
      </w:r>
      <w:r w:rsidRPr="00025189">
        <w:rPr>
          <w:b/>
          <w:bCs/>
          <w:lang w:val="en-GB"/>
        </w:rPr>
        <w:t>"egress tax"</w:t>
      </w:r>
      <w:r w:rsidRPr="00025189">
        <w:rPr>
          <w:lang w:val="en-GB"/>
        </w:rPr>
        <w:t xml:space="preserve">, meaning you are not charged for data transferred out of the buckets. It is </w:t>
      </w:r>
      <w:r w:rsidRPr="00025189">
        <w:rPr>
          <w:b/>
          <w:bCs/>
          <w:lang w:val="en-GB"/>
        </w:rPr>
        <w:t>S3-compatible</w:t>
      </w:r>
      <w:r w:rsidRPr="00025189">
        <w:rPr>
          <w:lang w:val="en-GB"/>
        </w:rPr>
        <w:t xml:space="preserve">, making it an ideal choice for high-volume media, such as customer-uploaded originals and AI-generated results, because costs remain predictable regardless of traffic. R2 offers </w:t>
      </w:r>
      <w:r w:rsidRPr="00025189">
        <w:rPr>
          <w:b/>
          <w:bCs/>
          <w:lang w:val="en-GB"/>
        </w:rPr>
        <w:t>strong consistency</w:t>
      </w:r>
      <w:r w:rsidRPr="00025189">
        <w:rPr>
          <w:lang w:val="en-GB"/>
        </w:rPr>
        <w:t xml:space="preserve"> for read-after-write operations, ensuring that once an image is uploaded, it is immediately available for retrieval.</w:t>
      </w:r>
    </w:p>
    <w:p w14:paraId="3A0F5D01" w14:textId="77777777" w:rsidR="00025189" w:rsidRPr="00025189" w:rsidRDefault="00025189" w:rsidP="00025189">
      <w:pPr>
        <w:rPr>
          <w:b/>
          <w:bCs/>
          <w:lang w:val="en-GB"/>
        </w:rPr>
      </w:pPr>
      <w:r w:rsidRPr="00025189">
        <w:rPr>
          <w:b/>
          <w:bCs/>
          <w:lang w:val="en-GB"/>
        </w:rPr>
        <w:t>5. Deployment: Netlify</w:t>
      </w:r>
    </w:p>
    <w:p w14:paraId="7A6FD004" w14:textId="77777777" w:rsidR="00025189" w:rsidRPr="00025189" w:rsidRDefault="00025189" w:rsidP="00025189">
      <w:pPr>
        <w:rPr>
          <w:lang w:val="en-GB"/>
        </w:rPr>
      </w:pPr>
      <w:r w:rsidRPr="00025189">
        <w:rPr>
          <w:b/>
          <w:bCs/>
          <w:lang w:val="en-GB"/>
        </w:rPr>
        <w:t>Netlify</w:t>
      </w:r>
      <w:r w:rsidRPr="00025189">
        <w:rPr>
          <w:lang w:val="en-GB"/>
        </w:rPr>
        <w:t xml:space="preserve"> is a primary deployment partner for </w:t>
      </w:r>
      <w:proofErr w:type="spellStart"/>
      <w:r w:rsidRPr="00025189">
        <w:rPr>
          <w:lang w:val="en-GB"/>
        </w:rPr>
        <w:t>TanStack</w:t>
      </w:r>
      <w:proofErr w:type="spellEnd"/>
      <w:r w:rsidRPr="00025189">
        <w:rPr>
          <w:lang w:val="en-GB"/>
        </w:rPr>
        <w:t xml:space="preserve"> Start, providing a "Vite-native" environment that supports </w:t>
      </w:r>
      <w:r w:rsidRPr="00025189">
        <w:rPr>
          <w:b/>
          <w:bCs/>
          <w:lang w:val="en-GB"/>
        </w:rPr>
        <w:t>HTTP Response Streaming</w:t>
      </w:r>
      <w:r w:rsidRPr="00025189">
        <w:rPr>
          <w:lang w:val="en-GB"/>
        </w:rPr>
        <w:t xml:space="preserve">. It uses a </w:t>
      </w:r>
      <w:r w:rsidRPr="00025189">
        <w:rPr>
          <w:b/>
          <w:bCs/>
          <w:lang w:val="en-GB"/>
        </w:rPr>
        <w:t>credit-based billing model</w:t>
      </w:r>
      <w:r w:rsidRPr="00025189">
        <w:rPr>
          <w:lang w:val="en-GB"/>
        </w:rPr>
        <w:t xml:space="preserve"> for compute and bandwidth, and its </w:t>
      </w:r>
      <w:r w:rsidRPr="00025189">
        <w:rPr>
          <w:b/>
          <w:bCs/>
          <w:lang w:val="en-GB"/>
        </w:rPr>
        <w:t>atomic deploys</w:t>
      </w:r>
      <w:r w:rsidRPr="00025189">
        <w:rPr>
          <w:lang w:val="en-GB"/>
        </w:rPr>
        <w:t xml:space="preserve"> ensure your site is never in a partial state during updates. The platform targets </w:t>
      </w:r>
      <w:r w:rsidRPr="00025189">
        <w:rPr>
          <w:b/>
          <w:bCs/>
          <w:lang w:val="en-GB"/>
        </w:rPr>
        <w:t>AWS Lambda-based regional functions</w:t>
      </w:r>
      <w:r w:rsidRPr="00025189">
        <w:rPr>
          <w:lang w:val="en-GB"/>
        </w:rPr>
        <w:t xml:space="preserve"> for standard Node.js logic and </w:t>
      </w:r>
      <w:r w:rsidRPr="00025189">
        <w:rPr>
          <w:b/>
          <w:bCs/>
          <w:lang w:val="en-GB"/>
        </w:rPr>
        <w:t>Deno-based edge isolates</w:t>
      </w:r>
      <w:r w:rsidRPr="00025189">
        <w:rPr>
          <w:lang w:val="en-GB"/>
        </w:rPr>
        <w:t xml:space="preserve"> for low-latency middleware.</w:t>
      </w:r>
    </w:p>
    <w:p w14:paraId="2E8C35CC" w14:textId="77777777" w:rsidR="00025189" w:rsidRPr="00025189" w:rsidRDefault="00025189" w:rsidP="00025189">
      <w:pPr>
        <w:rPr>
          <w:b/>
          <w:bCs/>
          <w:lang w:val="en-GB"/>
        </w:rPr>
      </w:pPr>
      <w:r w:rsidRPr="00025189">
        <w:rPr>
          <w:b/>
          <w:bCs/>
          <w:lang w:val="en-GB"/>
        </w:rPr>
        <w:t>6. Mobile Runtime: Capacitor</w:t>
      </w:r>
    </w:p>
    <w:p w14:paraId="53F88ED4" w14:textId="77777777" w:rsidR="00025189" w:rsidRPr="00025189" w:rsidRDefault="00025189" w:rsidP="00025189">
      <w:pPr>
        <w:rPr>
          <w:lang w:val="en-GB"/>
        </w:rPr>
      </w:pPr>
      <w:r w:rsidRPr="00025189">
        <w:rPr>
          <w:b/>
          <w:bCs/>
          <w:lang w:val="en-GB"/>
        </w:rPr>
        <w:lastRenderedPageBreak/>
        <w:t>Capacitor</w:t>
      </w:r>
      <w:r w:rsidRPr="00025189">
        <w:rPr>
          <w:lang w:val="en-GB"/>
        </w:rPr>
        <w:t xml:space="preserve"> serves as a modern bridge between your React web application and native mobile platforms. Unlike legacy frameworks, it treats the </w:t>
      </w:r>
      <w:r w:rsidRPr="00025189">
        <w:rPr>
          <w:b/>
          <w:bCs/>
          <w:lang w:val="en-GB"/>
        </w:rPr>
        <w:t>Xcode and Android Studio projects as first-class citizens</w:t>
      </w:r>
      <w:r w:rsidRPr="00025189">
        <w:rPr>
          <w:lang w:val="en-GB"/>
        </w:rPr>
        <w:t xml:space="preserve">, allowing you to access native hardware APIs while maintaining a single codebase. It integrates seamlessly with </w:t>
      </w:r>
      <w:proofErr w:type="spellStart"/>
      <w:r w:rsidRPr="00025189">
        <w:rPr>
          <w:b/>
          <w:bCs/>
          <w:lang w:val="en-GB"/>
        </w:rPr>
        <w:t>TanStack</w:t>
      </w:r>
      <w:proofErr w:type="spellEnd"/>
      <w:r w:rsidRPr="00025189">
        <w:rPr>
          <w:b/>
          <w:bCs/>
          <w:lang w:val="en-GB"/>
        </w:rPr>
        <w:t xml:space="preserve"> Router</w:t>
      </w:r>
      <w:r w:rsidRPr="00025189">
        <w:rPr>
          <w:lang w:val="en-GB"/>
        </w:rPr>
        <w:t xml:space="preserve"> for navigation and </w:t>
      </w:r>
      <w:proofErr w:type="spellStart"/>
      <w:r w:rsidRPr="00025189">
        <w:rPr>
          <w:b/>
          <w:bCs/>
          <w:lang w:val="en-GB"/>
        </w:rPr>
        <w:t>TanStack</w:t>
      </w:r>
      <w:proofErr w:type="spellEnd"/>
      <w:r w:rsidRPr="00025189">
        <w:rPr>
          <w:b/>
          <w:bCs/>
          <w:lang w:val="en-GB"/>
        </w:rPr>
        <w:t xml:space="preserve"> Query</w:t>
      </w:r>
      <w:r w:rsidRPr="00025189">
        <w:rPr>
          <w:lang w:val="en-GB"/>
        </w:rPr>
        <w:t xml:space="preserve"> for building "offline-first" apps.</w:t>
      </w:r>
    </w:p>
    <w:p w14:paraId="018C2BF1" w14:textId="77777777" w:rsidR="00025189" w:rsidRPr="00025189" w:rsidRDefault="00025189" w:rsidP="00025189">
      <w:r w:rsidRPr="00025189">
        <w:pict w14:anchorId="5F82D164">
          <v:rect id="_x0000_i1031" style="width:0;height:1.5pt" o:hralign="center" o:hrstd="t" o:hr="t" fillcolor="#a0a0a0" stroked="f"/>
        </w:pict>
      </w:r>
    </w:p>
    <w:p w14:paraId="797E769E" w14:textId="77777777" w:rsidR="00025189" w:rsidRPr="00025189" w:rsidRDefault="00025189" w:rsidP="00025189">
      <w:pPr>
        <w:rPr>
          <w:b/>
          <w:bCs/>
        </w:rPr>
      </w:pPr>
      <w:r w:rsidRPr="00025189">
        <w:rPr>
          <w:b/>
          <w:bCs/>
        </w:rPr>
        <w:t xml:space="preserve">Strategic </w:t>
      </w:r>
      <w:proofErr w:type="spellStart"/>
      <w:r w:rsidRPr="00025189">
        <w:rPr>
          <w:b/>
          <w:bCs/>
        </w:rPr>
        <w:t>Advice</w:t>
      </w:r>
      <w:proofErr w:type="spellEnd"/>
      <w:r w:rsidRPr="00025189">
        <w:rPr>
          <w:b/>
          <w:bCs/>
        </w:rPr>
        <w:t xml:space="preserve"> and </w:t>
      </w:r>
      <w:proofErr w:type="spellStart"/>
      <w:r w:rsidRPr="00025189">
        <w:rPr>
          <w:b/>
          <w:bCs/>
        </w:rPr>
        <w:t>Recommended</w:t>
      </w:r>
      <w:proofErr w:type="spellEnd"/>
      <w:r w:rsidRPr="00025189">
        <w:rPr>
          <w:b/>
          <w:bCs/>
        </w:rPr>
        <w:t xml:space="preserve"> </w:t>
      </w:r>
      <w:proofErr w:type="spellStart"/>
      <w:r w:rsidRPr="00025189">
        <w:rPr>
          <w:b/>
          <w:bCs/>
        </w:rPr>
        <w:t>Enhancements</w:t>
      </w:r>
      <w:proofErr w:type="spellEnd"/>
    </w:p>
    <w:p w14:paraId="039982D7" w14:textId="77777777" w:rsidR="00025189" w:rsidRPr="00025189" w:rsidRDefault="00025189" w:rsidP="00025189">
      <w:pPr>
        <w:numPr>
          <w:ilvl w:val="0"/>
          <w:numId w:val="1"/>
        </w:numPr>
        <w:rPr>
          <w:lang w:val="en-GB"/>
        </w:rPr>
      </w:pPr>
      <w:r w:rsidRPr="00025189">
        <w:rPr>
          <w:b/>
          <w:bCs/>
          <w:lang w:val="en-GB"/>
        </w:rPr>
        <w:t>Adopt Drizzle ORM:</w:t>
      </w:r>
      <w:r w:rsidRPr="00025189">
        <w:rPr>
          <w:lang w:val="en-GB"/>
        </w:rPr>
        <w:t xml:space="preserve"> For your database interactions within </w:t>
      </w:r>
      <w:proofErr w:type="spellStart"/>
      <w:r w:rsidRPr="00025189">
        <w:rPr>
          <w:lang w:val="en-GB"/>
        </w:rPr>
        <w:t>Supabase</w:t>
      </w:r>
      <w:proofErr w:type="spellEnd"/>
      <w:r w:rsidRPr="00025189">
        <w:rPr>
          <w:lang w:val="en-GB"/>
        </w:rPr>
        <w:t xml:space="preserve">, </w:t>
      </w:r>
      <w:r w:rsidRPr="00025189">
        <w:rPr>
          <w:b/>
          <w:bCs/>
          <w:lang w:val="en-GB"/>
        </w:rPr>
        <w:t>Drizzle ORM</w:t>
      </w:r>
      <w:r w:rsidRPr="00025189">
        <w:rPr>
          <w:lang w:val="en-GB"/>
        </w:rPr>
        <w:t xml:space="preserve"> is highly recommended. It is a "code-first," lightweight ORM that offers zero-overhead execution, making it more efficient for </w:t>
      </w:r>
      <w:r w:rsidRPr="00025189">
        <w:rPr>
          <w:b/>
          <w:bCs/>
          <w:lang w:val="en-GB"/>
        </w:rPr>
        <w:t>Edge Functions</w:t>
      </w:r>
      <w:r w:rsidRPr="00025189">
        <w:rPr>
          <w:lang w:val="en-GB"/>
        </w:rPr>
        <w:t xml:space="preserve"> and serverless environments than heavier alternatives like Prisma.</w:t>
      </w:r>
    </w:p>
    <w:p w14:paraId="333D1F4A" w14:textId="77777777" w:rsidR="00025189" w:rsidRPr="00025189" w:rsidRDefault="00025189" w:rsidP="00025189">
      <w:pPr>
        <w:numPr>
          <w:ilvl w:val="0"/>
          <w:numId w:val="1"/>
        </w:numPr>
        <w:rPr>
          <w:lang w:val="en-GB"/>
        </w:rPr>
      </w:pPr>
      <w:r w:rsidRPr="00025189">
        <w:rPr>
          <w:b/>
          <w:bCs/>
          <w:lang w:val="en-GB"/>
        </w:rPr>
        <w:t>Mobile-Specific Storage:</w:t>
      </w:r>
      <w:r w:rsidRPr="00025189">
        <w:rPr>
          <w:lang w:val="en-GB"/>
        </w:rPr>
        <w:t xml:space="preserve"> In your Capacitor mobile app, while @capacitor/preferences is standard for auth tokens or small metadata, you should use </w:t>
      </w:r>
      <w:r w:rsidRPr="00025189">
        <w:rPr>
          <w:b/>
          <w:bCs/>
          <w:lang w:val="en-GB"/>
        </w:rPr>
        <w:t>Capacitor SQLite</w:t>
      </w:r>
      <w:r w:rsidRPr="00025189">
        <w:rPr>
          <w:lang w:val="en-GB"/>
        </w:rPr>
        <w:t xml:space="preserve"> for larger datasets. This prevents the OS from evicting your data and supports high-performance synchronization for an offline-first experience.</w:t>
      </w:r>
    </w:p>
    <w:p w14:paraId="4AE621AA" w14:textId="77777777" w:rsidR="00025189" w:rsidRPr="00025189" w:rsidRDefault="00025189" w:rsidP="00025189">
      <w:pPr>
        <w:numPr>
          <w:ilvl w:val="0"/>
          <w:numId w:val="1"/>
        </w:numPr>
        <w:rPr>
          <w:lang w:val="en-GB"/>
        </w:rPr>
      </w:pPr>
      <w:r w:rsidRPr="00025189">
        <w:rPr>
          <w:b/>
          <w:bCs/>
          <w:lang w:val="en-GB"/>
        </w:rPr>
        <w:t>Security Boundary Hygiene:</w:t>
      </w:r>
      <w:r w:rsidRPr="00025189">
        <w:rPr>
          <w:lang w:val="en-GB"/>
        </w:rPr>
        <w:t xml:space="preserve"> Ensure all sensitive credentials, such as the </w:t>
      </w:r>
      <w:proofErr w:type="spellStart"/>
      <w:r w:rsidRPr="00025189">
        <w:rPr>
          <w:b/>
          <w:bCs/>
          <w:lang w:val="en-GB"/>
        </w:rPr>
        <w:t>Supabase</w:t>
      </w:r>
      <w:proofErr w:type="spellEnd"/>
      <w:r w:rsidRPr="00025189">
        <w:rPr>
          <w:b/>
          <w:bCs/>
          <w:lang w:val="en-GB"/>
        </w:rPr>
        <w:t xml:space="preserve"> Service Role Key</w:t>
      </w:r>
      <w:r w:rsidRPr="00025189">
        <w:rPr>
          <w:lang w:val="en-GB"/>
        </w:rPr>
        <w:t xml:space="preserve">, are stored in environment variables </w:t>
      </w:r>
      <w:r w:rsidRPr="00025189">
        <w:rPr>
          <w:b/>
          <w:bCs/>
          <w:lang w:val="en-GB"/>
        </w:rPr>
        <w:t>without the VITE_ prefix</w:t>
      </w:r>
      <w:r w:rsidRPr="00025189">
        <w:rPr>
          <w:lang w:val="en-GB"/>
        </w:rPr>
        <w:t>. This prevents the build system from accidentally exposing these keys in the client-side JavaScript bundle.</w:t>
      </w:r>
    </w:p>
    <w:p w14:paraId="79A6510B" w14:textId="77777777" w:rsidR="00025189" w:rsidRPr="00025189" w:rsidRDefault="00025189" w:rsidP="00025189">
      <w:pPr>
        <w:numPr>
          <w:ilvl w:val="0"/>
          <w:numId w:val="1"/>
        </w:numPr>
        <w:rPr>
          <w:lang w:val="en-GB"/>
        </w:rPr>
      </w:pPr>
      <w:r w:rsidRPr="00025189">
        <w:rPr>
          <w:b/>
          <w:bCs/>
          <w:lang w:val="en-GB"/>
        </w:rPr>
        <w:t>Enhanced Mobile Auth:</w:t>
      </w:r>
      <w:r w:rsidRPr="00025189">
        <w:rPr>
          <w:lang w:val="en-GB"/>
        </w:rPr>
        <w:t xml:space="preserve"> For biometric authentication (fingerprint/face ID) in the mobile app, consider using </w:t>
      </w:r>
      <w:proofErr w:type="spellStart"/>
      <w:r w:rsidRPr="00025189">
        <w:rPr>
          <w:lang w:val="en-GB"/>
        </w:rPr>
        <w:t>Ionic’s</w:t>
      </w:r>
      <w:proofErr w:type="spellEnd"/>
      <w:r w:rsidRPr="00025189">
        <w:rPr>
          <w:lang w:val="en-GB"/>
        </w:rPr>
        <w:t xml:space="preserve"> </w:t>
      </w:r>
      <w:r w:rsidRPr="00025189">
        <w:rPr>
          <w:b/>
          <w:bCs/>
          <w:lang w:val="en-GB"/>
        </w:rPr>
        <w:t>Identity Vault</w:t>
      </w:r>
      <w:r w:rsidRPr="00025189">
        <w:rPr>
          <w:lang w:val="en-GB"/>
        </w:rPr>
        <w:t xml:space="preserve">. It provides an enterprise-tier solution that integrates with the native </w:t>
      </w:r>
      <w:r w:rsidRPr="00025189">
        <w:rPr>
          <w:b/>
          <w:bCs/>
          <w:lang w:val="en-GB"/>
        </w:rPr>
        <w:t>Secure Enclave and Keystore</w:t>
      </w:r>
      <w:r w:rsidRPr="00025189">
        <w:rPr>
          <w:lang w:val="en-GB"/>
        </w:rPr>
        <w:t xml:space="preserve"> rather than just performing simple </w:t>
      </w:r>
      <w:proofErr w:type="spellStart"/>
      <w:r w:rsidRPr="00025189">
        <w:rPr>
          <w:lang w:val="en-GB"/>
        </w:rPr>
        <w:t>boolean</w:t>
      </w:r>
      <w:proofErr w:type="spellEnd"/>
      <w:r w:rsidRPr="00025189">
        <w:rPr>
          <w:lang w:val="en-GB"/>
        </w:rPr>
        <w:t xml:space="preserve"> checks.</w:t>
      </w:r>
    </w:p>
    <w:p w14:paraId="7C800E79" w14:textId="77777777" w:rsidR="00025189" w:rsidRPr="00025189" w:rsidRDefault="00025189" w:rsidP="00025189">
      <w:pPr>
        <w:numPr>
          <w:ilvl w:val="0"/>
          <w:numId w:val="1"/>
        </w:numPr>
        <w:rPr>
          <w:lang w:val="en-GB"/>
        </w:rPr>
      </w:pPr>
      <w:r w:rsidRPr="00025189">
        <w:rPr>
          <w:b/>
          <w:bCs/>
          <w:lang w:val="en-GB"/>
        </w:rPr>
        <w:t>Splash Screen Optimization:</w:t>
      </w:r>
      <w:r w:rsidRPr="00025189">
        <w:rPr>
          <w:lang w:val="en-GB"/>
        </w:rPr>
        <w:t xml:space="preserve"> To improve the perceived speed of your mobile app, use </w:t>
      </w:r>
      <w:r w:rsidRPr="00025189">
        <w:rPr>
          <w:b/>
          <w:bCs/>
          <w:lang w:val="en-GB"/>
        </w:rPr>
        <w:t>non-blocking native splash screen overlays</w:t>
      </w:r>
      <w:r w:rsidRPr="00025189">
        <w:rPr>
          <w:lang w:val="en-GB"/>
        </w:rPr>
        <w:t xml:space="preserve">. This allows your React application to load in the background while the splash animation is visible, which can reduce perceived page load times by up to </w:t>
      </w:r>
      <w:r w:rsidRPr="00025189">
        <w:rPr>
          <w:b/>
          <w:bCs/>
          <w:lang w:val="en-GB"/>
        </w:rPr>
        <w:t>90%</w:t>
      </w:r>
      <w:r w:rsidRPr="00025189">
        <w:rPr>
          <w:lang w:val="en-GB"/>
        </w:rPr>
        <w:t>.</w:t>
      </w:r>
    </w:p>
    <w:p w14:paraId="57B84558" w14:textId="77777777" w:rsidR="00025189" w:rsidRPr="00025189" w:rsidRDefault="00025189" w:rsidP="00025189">
      <w:pPr>
        <w:rPr>
          <w:lang w:val="en-GB"/>
        </w:rPr>
      </w:pPr>
      <w:r w:rsidRPr="00025189">
        <w:rPr>
          <w:b/>
          <w:bCs/>
          <w:lang w:val="en-GB"/>
        </w:rPr>
        <w:t>Analogy for Understanding:</w:t>
      </w:r>
      <w:r w:rsidRPr="00025189">
        <w:rPr>
          <w:lang w:val="en-GB"/>
        </w:rPr>
        <w:t xml:space="preserve"> Think of your tech stack as a </w:t>
      </w:r>
      <w:r w:rsidRPr="00025189">
        <w:rPr>
          <w:b/>
          <w:bCs/>
          <w:lang w:val="en-GB"/>
        </w:rPr>
        <w:t>modern high-speed rail system</w:t>
      </w:r>
      <w:r w:rsidRPr="00025189">
        <w:rPr>
          <w:lang w:val="en-GB"/>
        </w:rPr>
        <w:t xml:space="preserve">: </w:t>
      </w:r>
      <w:r w:rsidRPr="00025189">
        <w:rPr>
          <w:b/>
          <w:bCs/>
          <w:lang w:val="en-GB"/>
        </w:rPr>
        <w:t>Netlify</w:t>
      </w:r>
      <w:r w:rsidRPr="00025189">
        <w:rPr>
          <w:lang w:val="en-GB"/>
        </w:rPr>
        <w:t xml:space="preserve"> provides the global tracks and power (infrastructure), </w:t>
      </w:r>
      <w:proofErr w:type="spellStart"/>
      <w:r w:rsidRPr="00025189">
        <w:rPr>
          <w:b/>
          <w:bCs/>
          <w:lang w:val="en-GB"/>
        </w:rPr>
        <w:t>Supabase</w:t>
      </w:r>
      <w:proofErr w:type="spellEnd"/>
      <w:r w:rsidRPr="00025189">
        <w:rPr>
          <w:lang w:val="en-GB"/>
        </w:rPr>
        <w:t xml:space="preserve"> is the centralized station and warehouse (data), and </w:t>
      </w:r>
      <w:r w:rsidRPr="00025189">
        <w:rPr>
          <w:b/>
          <w:bCs/>
          <w:lang w:val="en-GB"/>
        </w:rPr>
        <w:t>Clerk</w:t>
      </w:r>
      <w:r w:rsidRPr="00025189">
        <w:rPr>
          <w:lang w:val="en-GB"/>
        </w:rPr>
        <w:t xml:space="preserve"> is the digital ticket and security gate (auth). Your </w:t>
      </w:r>
      <w:proofErr w:type="spellStart"/>
      <w:r w:rsidRPr="00025189">
        <w:rPr>
          <w:b/>
          <w:bCs/>
          <w:lang w:val="en-GB"/>
        </w:rPr>
        <w:t>TanStack</w:t>
      </w:r>
      <w:proofErr w:type="spellEnd"/>
      <w:r w:rsidRPr="00025189">
        <w:rPr>
          <w:b/>
          <w:bCs/>
          <w:lang w:val="en-GB"/>
        </w:rPr>
        <w:t xml:space="preserve"> application</w:t>
      </w:r>
      <w:r w:rsidRPr="00025189">
        <w:rPr>
          <w:lang w:val="en-GB"/>
        </w:rPr>
        <w:t xml:space="preserve"> is the high-performance engine pulling the cars, while </w:t>
      </w:r>
      <w:r w:rsidRPr="00025189">
        <w:rPr>
          <w:b/>
          <w:bCs/>
          <w:lang w:val="en-GB"/>
        </w:rPr>
        <w:t>Capacitor</w:t>
      </w:r>
      <w:r w:rsidRPr="00025189">
        <w:rPr>
          <w:lang w:val="en-GB"/>
        </w:rPr>
        <w:t xml:space="preserve"> acts as the specialized set of wheels that allows the same train to travel off the main tracks and directly onto the city's local road network (mobile platforms).</w:t>
      </w:r>
    </w:p>
    <w:p w14:paraId="786E9486" w14:textId="77777777" w:rsidR="009657B4" w:rsidRPr="00025189" w:rsidRDefault="009657B4">
      <w:pPr>
        <w:rPr>
          <w:lang w:val="en-GB"/>
        </w:rPr>
      </w:pPr>
    </w:p>
    <w:sectPr w:rsidR="009657B4" w:rsidRPr="00025189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26D43"/>
    <w:multiLevelType w:val="multilevel"/>
    <w:tmpl w:val="C82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13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89"/>
    <w:rsid w:val="00025189"/>
    <w:rsid w:val="001A292C"/>
    <w:rsid w:val="002D328D"/>
    <w:rsid w:val="005D616B"/>
    <w:rsid w:val="00601E6B"/>
    <w:rsid w:val="00812D38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7B6A9"/>
  <w15:chartTrackingRefBased/>
  <w15:docId w15:val="{95D03FB3-2931-4F82-95BF-B0750DDA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596</Words>
  <Characters>4831</Characters>
  <Application>Microsoft Office Word</Application>
  <DocSecurity>0</DocSecurity>
  <Lines>40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2025-12-29T21:51:00Z</dcterms:created>
  <dcterms:modified xsi:type="dcterms:W3CDTF">2025-12-29T21:52:00Z</dcterms:modified>
</cp:coreProperties>
</file>