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AE13" w14:textId="77777777" w:rsidR="00B719A2" w:rsidRPr="00B719A2" w:rsidRDefault="00B719A2" w:rsidP="00B719A2">
      <w:pPr>
        <w:rPr>
          <w:b/>
          <w:bCs/>
          <w:lang w:val="en-GB"/>
        </w:rPr>
      </w:pPr>
      <w:r w:rsidRPr="00B719A2">
        <w:rPr>
          <w:b/>
          <w:bCs/>
          <w:lang w:val="en-GB"/>
        </w:rPr>
        <w:t>Technical Analysis of the Netlify Cloud Platform: Compute Architecture, Data Primitives, and Framework Ecosystems</w:t>
      </w:r>
    </w:p>
    <w:p w14:paraId="7E19D568" w14:textId="77777777" w:rsidR="00B719A2" w:rsidRPr="00B719A2" w:rsidRDefault="00B719A2" w:rsidP="00B719A2">
      <w:pPr>
        <w:rPr>
          <w:lang w:val="en-GB"/>
        </w:rPr>
      </w:pPr>
      <w:r w:rsidRPr="00B719A2">
        <w:rPr>
          <w:lang w:val="en-GB"/>
        </w:rPr>
        <w:t>The transformation of the modern web from static, file-based architectures to dynamic, full-stack applications has necessitated a parallel evolution in cloud infrastructure. Netlify, initially recognized for its pioneering role in the Jamstack movement, has redefined its platform as a suite of integrated primitives designed to support the next generation of web frameworks, most notably the TanStack Start and Nitro ecosystems. This report provides a deep technical examination of the Netlify architecture, analyzing its compute runtimes, data storage solutions, financial models, and the intricate workflows that govern the deployment of modern web projects.</w:t>
      </w:r>
    </w:p>
    <w:p w14:paraId="401CF410" w14:textId="77777777" w:rsidR="00B719A2" w:rsidRPr="00B719A2" w:rsidRDefault="00B719A2" w:rsidP="00B719A2">
      <w:pPr>
        <w:rPr>
          <w:b/>
          <w:bCs/>
          <w:lang w:val="en-GB"/>
        </w:rPr>
      </w:pPr>
      <w:r w:rsidRPr="00B719A2">
        <w:rPr>
          <w:b/>
          <w:bCs/>
          <w:lang w:val="en-GB"/>
        </w:rPr>
        <w:t>Architectural Foundations and Ecosystem Compatibility</w:t>
      </w:r>
    </w:p>
    <w:p w14:paraId="31CBD843" w14:textId="77777777" w:rsidR="00B719A2" w:rsidRPr="00B719A2" w:rsidRDefault="00B719A2" w:rsidP="00B719A2">
      <w:pPr>
        <w:rPr>
          <w:lang w:val="en-GB"/>
        </w:rPr>
      </w:pPr>
      <w:r w:rsidRPr="00B719A2">
        <w:rPr>
          <w:lang w:val="en-GB"/>
        </w:rPr>
        <w:t>The current state of web development is characterized by a shift toward type-safe, modular, and Vite-powered frameworks. At the forefront of this movement is TanStack Start, a React-based full-stack framework that emphasizes explicit architecture and compile-time guarantees over framework-specific conventions. Netlify’s positioning as the official deployment partner and sponsor for TanStack Start reflects a strategic alignment intended to provide developers with a "Vite-native" hosting environment. This partnership ensures that TanStack Start is optimized to run on Netlify’s serverless and edge infrastructure without the vendor-specific lock-in often associated with other major hosting platforms.</w:t>
      </w:r>
    </w:p>
    <w:p w14:paraId="743462FF" w14:textId="77777777" w:rsidR="00B719A2" w:rsidRPr="00B719A2" w:rsidRDefault="00B719A2" w:rsidP="00B719A2">
      <w:pPr>
        <w:rPr>
          <w:lang w:val="en-GB"/>
        </w:rPr>
      </w:pPr>
      <w:r w:rsidRPr="00B719A2">
        <w:rPr>
          <w:lang w:val="en-GB"/>
        </w:rPr>
        <w:t xml:space="preserve">The technical glue enabling this compatibility is the Nitro server engine. Nitro serves as a universal deployment layer that abstracts the underlying hosting provider, allowing frameworks to target various runtimes through standardized presets. In the context of Netlify, Nitro provides two primary native presets: </w:t>
      </w:r>
      <w:r w:rsidRPr="00B719A2">
        <w:rPr>
          <w:b/>
          <w:bCs/>
          <w:lang w:val="en-GB"/>
        </w:rPr>
        <w:t>netlify</w:t>
      </w:r>
      <w:r w:rsidRPr="00B719A2">
        <w:rPr>
          <w:lang w:val="en-GB"/>
        </w:rPr>
        <w:t xml:space="preserve"> and </w:t>
      </w:r>
      <w:r w:rsidRPr="00B719A2">
        <w:rPr>
          <w:b/>
          <w:bCs/>
          <w:lang w:val="en-GB"/>
        </w:rPr>
        <w:t>netlify_edge</w:t>
      </w:r>
      <w:r w:rsidRPr="00B719A2">
        <w:rPr>
          <w:lang w:val="en-GB"/>
        </w:rPr>
        <w:t>. The standard netlify preset is designed for regional serverless execution on AWS Lambda-based infrastructure, while the netlify_edge preset targets V8 isolates running in a Deno environment at the network edge.</w:t>
      </w:r>
    </w:p>
    <w:p w14:paraId="18C6B69E" w14:textId="77777777" w:rsidR="00B719A2" w:rsidRPr="00B719A2" w:rsidRDefault="00B719A2" w:rsidP="00B719A2">
      <w:pPr>
        <w:rPr>
          <w:b/>
          <w:bCs/>
          <w:lang w:val="en-GB"/>
        </w:rPr>
      </w:pPr>
      <w:r w:rsidRPr="00B719A2">
        <w:rPr>
          <w:b/>
          <w:bCs/>
          <w:lang w:val="en-GB"/>
        </w:rPr>
        <w:t>Framework-Specific Build Specifications</w:t>
      </w:r>
    </w:p>
    <w:p w14:paraId="1A58871E" w14:textId="77777777" w:rsidR="00B719A2" w:rsidRPr="00B719A2" w:rsidRDefault="00B719A2" w:rsidP="00B719A2">
      <w:pPr>
        <w:rPr>
          <w:lang w:val="en-GB"/>
        </w:rPr>
      </w:pPr>
      <w:r w:rsidRPr="00B719A2">
        <w:rPr>
          <w:lang w:val="en-GB"/>
        </w:rPr>
        <w:t>Netlify’s build system is designed to auto-detect framework configurations, but for advanced full-stack applications like TanStack Start, explicit configuration is often required to leverage platform-specific primitives. The integration typically utilizes the @netlify/vite-plugin-tanstack-start plugin, which configures the build for Netlify and provides platform emulation during local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1673"/>
        <w:gridCol w:w="2046"/>
        <w:gridCol w:w="2422"/>
      </w:tblGrid>
      <w:tr w:rsidR="00B719A2" w:rsidRPr="00B719A2" w14:paraId="76A6AA29" w14:textId="77777777">
        <w:trPr>
          <w:tblCellSpacing w:w="15" w:type="dxa"/>
        </w:trPr>
        <w:tc>
          <w:tcPr>
            <w:tcW w:w="0" w:type="auto"/>
            <w:vAlign w:val="center"/>
            <w:hideMark/>
          </w:tcPr>
          <w:p w14:paraId="51445AD2" w14:textId="77777777" w:rsidR="00B719A2" w:rsidRPr="00B719A2" w:rsidRDefault="00B719A2" w:rsidP="00B719A2">
            <w:pPr>
              <w:rPr>
                <w:b/>
                <w:bCs/>
              </w:rPr>
            </w:pPr>
            <w:r w:rsidRPr="00B719A2">
              <w:rPr>
                <w:b/>
                <w:bCs/>
              </w:rPr>
              <w:t>Framework</w:t>
            </w:r>
          </w:p>
        </w:tc>
        <w:tc>
          <w:tcPr>
            <w:tcW w:w="0" w:type="auto"/>
            <w:vAlign w:val="center"/>
            <w:hideMark/>
          </w:tcPr>
          <w:p w14:paraId="465D0AB9" w14:textId="77777777" w:rsidR="00B719A2" w:rsidRPr="00B719A2" w:rsidRDefault="00B719A2" w:rsidP="00B719A2">
            <w:pPr>
              <w:rPr>
                <w:b/>
                <w:bCs/>
              </w:rPr>
            </w:pPr>
            <w:proofErr w:type="spellStart"/>
            <w:r w:rsidRPr="00B719A2">
              <w:rPr>
                <w:b/>
                <w:bCs/>
              </w:rPr>
              <w:t>Build</w:t>
            </w:r>
            <w:proofErr w:type="spellEnd"/>
            <w:r w:rsidRPr="00B719A2">
              <w:rPr>
                <w:b/>
                <w:bCs/>
              </w:rPr>
              <w:t xml:space="preserve"> </w:t>
            </w:r>
            <w:proofErr w:type="spellStart"/>
            <w:r w:rsidRPr="00B719A2">
              <w:rPr>
                <w:b/>
                <w:bCs/>
              </w:rPr>
              <w:t>Command</w:t>
            </w:r>
            <w:proofErr w:type="spellEnd"/>
          </w:p>
        </w:tc>
        <w:tc>
          <w:tcPr>
            <w:tcW w:w="0" w:type="auto"/>
            <w:vAlign w:val="center"/>
            <w:hideMark/>
          </w:tcPr>
          <w:p w14:paraId="7A712C47" w14:textId="77777777" w:rsidR="00B719A2" w:rsidRPr="00B719A2" w:rsidRDefault="00B719A2" w:rsidP="00B719A2">
            <w:pPr>
              <w:rPr>
                <w:b/>
                <w:bCs/>
              </w:rPr>
            </w:pPr>
            <w:proofErr w:type="spellStart"/>
            <w:r w:rsidRPr="00B719A2">
              <w:rPr>
                <w:b/>
                <w:bCs/>
              </w:rPr>
              <w:t>Publish</w:t>
            </w:r>
            <w:proofErr w:type="spellEnd"/>
            <w:r w:rsidRPr="00B719A2">
              <w:rPr>
                <w:b/>
                <w:bCs/>
              </w:rPr>
              <w:t xml:space="preserve"> Directory</w:t>
            </w:r>
          </w:p>
        </w:tc>
        <w:tc>
          <w:tcPr>
            <w:tcW w:w="0" w:type="auto"/>
            <w:vAlign w:val="center"/>
            <w:hideMark/>
          </w:tcPr>
          <w:p w14:paraId="62BC8E29" w14:textId="77777777" w:rsidR="00B719A2" w:rsidRPr="00B719A2" w:rsidRDefault="00B719A2" w:rsidP="00B719A2">
            <w:pPr>
              <w:rPr>
                <w:b/>
                <w:bCs/>
              </w:rPr>
            </w:pPr>
            <w:proofErr w:type="spellStart"/>
            <w:r w:rsidRPr="00B719A2">
              <w:rPr>
                <w:b/>
                <w:bCs/>
              </w:rPr>
              <w:t>Primary</w:t>
            </w:r>
            <w:proofErr w:type="spellEnd"/>
            <w:r w:rsidRPr="00B719A2">
              <w:rPr>
                <w:b/>
                <w:bCs/>
              </w:rPr>
              <w:t xml:space="preserve"> Runtime Target</w:t>
            </w:r>
          </w:p>
        </w:tc>
      </w:tr>
      <w:tr w:rsidR="00B719A2" w:rsidRPr="00B719A2" w14:paraId="2F1AE030" w14:textId="77777777">
        <w:trPr>
          <w:tblCellSpacing w:w="15" w:type="dxa"/>
        </w:trPr>
        <w:tc>
          <w:tcPr>
            <w:tcW w:w="0" w:type="auto"/>
            <w:vAlign w:val="center"/>
            <w:hideMark/>
          </w:tcPr>
          <w:p w14:paraId="72DADCFB" w14:textId="77777777" w:rsidR="00B719A2" w:rsidRPr="00B719A2" w:rsidRDefault="00B719A2" w:rsidP="00B719A2">
            <w:proofErr w:type="spellStart"/>
            <w:r w:rsidRPr="00B719A2">
              <w:t>TanStack</w:t>
            </w:r>
            <w:proofErr w:type="spellEnd"/>
            <w:r w:rsidRPr="00B719A2">
              <w:t xml:space="preserve"> </w:t>
            </w:r>
            <w:proofErr w:type="spellStart"/>
            <w:r w:rsidRPr="00B719A2">
              <w:t>Start</w:t>
            </w:r>
            <w:proofErr w:type="spellEnd"/>
          </w:p>
        </w:tc>
        <w:tc>
          <w:tcPr>
            <w:tcW w:w="0" w:type="auto"/>
            <w:vAlign w:val="center"/>
            <w:hideMark/>
          </w:tcPr>
          <w:p w14:paraId="515C6D36" w14:textId="77777777" w:rsidR="00B719A2" w:rsidRPr="00B719A2" w:rsidRDefault="00B719A2" w:rsidP="00B719A2">
            <w:proofErr w:type="spellStart"/>
            <w:r w:rsidRPr="00B719A2">
              <w:t>vite</w:t>
            </w:r>
            <w:proofErr w:type="spellEnd"/>
            <w:r w:rsidRPr="00B719A2">
              <w:t xml:space="preserve"> </w:t>
            </w:r>
            <w:proofErr w:type="spellStart"/>
            <w:r w:rsidRPr="00B719A2">
              <w:t>build</w:t>
            </w:r>
            <w:proofErr w:type="spellEnd"/>
          </w:p>
        </w:tc>
        <w:tc>
          <w:tcPr>
            <w:tcW w:w="0" w:type="auto"/>
            <w:vAlign w:val="center"/>
            <w:hideMark/>
          </w:tcPr>
          <w:p w14:paraId="61D69D56" w14:textId="77777777" w:rsidR="00B719A2" w:rsidRPr="00B719A2" w:rsidRDefault="00B719A2" w:rsidP="00B719A2">
            <w:proofErr w:type="spellStart"/>
            <w:r w:rsidRPr="00B719A2">
              <w:t>dist</w:t>
            </w:r>
            <w:proofErr w:type="spellEnd"/>
            <w:r w:rsidRPr="00B719A2">
              <w:t>/</w:t>
            </w:r>
            <w:proofErr w:type="spellStart"/>
            <w:r w:rsidRPr="00B719A2">
              <w:t>client</w:t>
            </w:r>
            <w:proofErr w:type="spellEnd"/>
          </w:p>
        </w:tc>
        <w:tc>
          <w:tcPr>
            <w:tcW w:w="0" w:type="auto"/>
            <w:vAlign w:val="center"/>
            <w:hideMark/>
          </w:tcPr>
          <w:p w14:paraId="015EDB97" w14:textId="77777777" w:rsidR="00B719A2" w:rsidRPr="00B719A2" w:rsidRDefault="00B719A2" w:rsidP="00B719A2">
            <w:proofErr w:type="spellStart"/>
            <w:r w:rsidRPr="00B719A2">
              <w:t>Netlify</w:t>
            </w:r>
            <w:proofErr w:type="spellEnd"/>
            <w:r w:rsidRPr="00B719A2">
              <w:t xml:space="preserve"> </w:t>
            </w:r>
            <w:proofErr w:type="spellStart"/>
            <w:r w:rsidRPr="00B719A2">
              <w:t>Functions</w:t>
            </w:r>
            <w:proofErr w:type="spellEnd"/>
          </w:p>
        </w:tc>
      </w:tr>
      <w:tr w:rsidR="00B719A2" w:rsidRPr="00B719A2" w14:paraId="2A7283D1" w14:textId="77777777">
        <w:trPr>
          <w:tblCellSpacing w:w="15" w:type="dxa"/>
        </w:trPr>
        <w:tc>
          <w:tcPr>
            <w:tcW w:w="0" w:type="auto"/>
            <w:vAlign w:val="center"/>
            <w:hideMark/>
          </w:tcPr>
          <w:p w14:paraId="35174AFC" w14:textId="77777777" w:rsidR="00B719A2" w:rsidRPr="00B719A2" w:rsidRDefault="00B719A2" w:rsidP="00B719A2">
            <w:proofErr w:type="spellStart"/>
            <w:r w:rsidRPr="00B719A2">
              <w:t>TanStack</w:t>
            </w:r>
            <w:proofErr w:type="spellEnd"/>
            <w:r w:rsidRPr="00B719A2">
              <w:t xml:space="preserve"> </w:t>
            </w:r>
            <w:proofErr w:type="spellStart"/>
            <w:r w:rsidRPr="00B719A2">
              <w:t>Start</w:t>
            </w:r>
            <w:proofErr w:type="spellEnd"/>
            <w:r w:rsidRPr="00B719A2">
              <w:t xml:space="preserve"> (v &lt; 1.132)</w:t>
            </w:r>
          </w:p>
        </w:tc>
        <w:tc>
          <w:tcPr>
            <w:tcW w:w="0" w:type="auto"/>
            <w:vAlign w:val="center"/>
            <w:hideMark/>
          </w:tcPr>
          <w:p w14:paraId="59A477B4" w14:textId="77777777" w:rsidR="00B719A2" w:rsidRPr="00B719A2" w:rsidRDefault="00B719A2" w:rsidP="00B719A2">
            <w:proofErr w:type="spellStart"/>
            <w:r w:rsidRPr="00B719A2">
              <w:t>vite</w:t>
            </w:r>
            <w:proofErr w:type="spellEnd"/>
            <w:r w:rsidRPr="00B719A2">
              <w:t xml:space="preserve"> </w:t>
            </w:r>
            <w:proofErr w:type="spellStart"/>
            <w:r w:rsidRPr="00B719A2">
              <w:t>build</w:t>
            </w:r>
            <w:proofErr w:type="spellEnd"/>
          </w:p>
        </w:tc>
        <w:tc>
          <w:tcPr>
            <w:tcW w:w="0" w:type="auto"/>
            <w:vAlign w:val="center"/>
            <w:hideMark/>
          </w:tcPr>
          <w:p w14:paraId="159127E5" w14:textId="77777777" w:rsidR="00B719A2" w:rsidRPr="00B719A2" w:rsidRDefault="00B719A2" w:rsidP="00B719A2">
            <w:proofErr w:type="spellStart"/>
            <w:r w:rsidRPr="00B719A2">
              <w:t>dist</w:t>
            </w:r>
            <w:proofErr w:type="spellEnd"/>
          </w:p>
        </w:tc>
        <w:tc>
          <w:tcPr>
            <w:tcW w:w="0" w:type="auto"/>
            <w:vAlign w:val="center"/>
            <w:hideMark/>
          </w:tcPr>
          <w:p w14:paraId="7CB442C5" w14:textId="77777777" w:rsidR="00B719A2" w:rsidRPr="00B719A2" w:rsidRDefault="00B719A2" w:rsidP="00B719A2">
            <w:proofErr w:type="spellStart"/>
            <w:r w:rsidRPr="00B719A2">
              <w:t>Netlify</w:t>
            </w:r>
            <w:proofErr w:type="spellEnd"/>
            <w:r w:rsidRPr="00B719A2">
              <w:t xml:space="preserve"> </w:t>
            </w:r>
            <w:proofErr w:type="spellStart"/>
            <w:r w:rsidRPr="00B719A2">
              <w:t>Functions</w:t>
            </w:r>
            <w:proofErr w:type="spellEnd"/>
          </w:p>
        </w:tc>
      </w:tr>
      <w:tr w:rsidR="00B719A2" w:rsidRPr="00B719A2" w14:paraId="6849DEB3" w14:textId="77777777">
        <w:trPr>
          <w:tblCellSpacing w:w="15" w:type="dxa"/>
        </w:trPr>
        <w:tc>
          <w:tcPr>
            <w:tcW w:w="0" w:type="auto"/>
            <w:vAlign w:val="center"/>
            <w:hideMark/>
          </w:tcPr>
          <w:p w14:paraId="0637B355" w14:textId="77777777" w:rsidR="00B719A2" w:rsidRPr="00B719A2" w:rsidRDefault="00B719A2" w:rsidP="00B719A2">
            <w:proofErr w:type="spellStart"/>
            <w:r w:rsidRPr="00B719A2">
              <w:t>TanStack</w:t>
            </w:r>
            <w:proofErr w:type="spellEnd"/>
            <w:r w:rsidRPr="00B719A2">
              <w:t xml:space="preserve"> </w:t>
            </w:r>
            <w:proofErr w:type="spellStart"/>
            <w:r w:rsidRPr="00B719A2">
              <w:t>Start</w:t>
            </w:r>
            <w:proofErr w:type="spellEnd"/>
            <w:r w:rsidRPr="00B719A2">
              <w:t xml:space="preserve"> (v &lt; 1.121)</w:t>
            </w:r>
          </w:p>
        </w:tc>
        <w:tc>
          <w:tcPr>
            <w:tcW w:w="0" w:type="auto"/>
            <w:vAlign w:val="center"/>
            <w:hideMark/>
          </w:tcPr>
          <w:p w14:paraId="21E78585" w14:textId="77777777" w:rsidR="00B719A2" w:rsidRPr="00B719A2" w:rsidRDefault="00B719A2" w:rsidP="00B719A2">
            <w:proofErr w:type="spellStart"/>
            <w:r w:rsidRPr="00B719A2">
              <w:t>vinxi</w:t>
            </w:r>
            <w:proofErr w:type="spellEnd"/>
            <w:r w:rsidRPr="00B719A2">
              <w:t xml:space="preserve"> </w:t>
            </w:r>
            <w:proofErr w:type="spellStart"/>
            <w:r w:rsidRPr="00B719A2">
              <w:t>build</w:t>
            </w:r>
            <w:proofErr w:type="spellEnd"/>
          </w:p>
        </w:tc>
        <w:tc>
          <w:tcPr>
            <w:tcW w:w="0" w:type="auto"/>
            <w:vAlign w:val="center"/>
            <w:hideMark/>
          </w:tcPr>
          <w:p w14:paraId="49F9F74A" w14:textId="77777777" w:rsidR="00B719A2" w:rsidRPr="00B719A2" w:rsidRDefault="00B719A2" w:rsidP="00B719A2">
            <w:proofErr w:type="spellStart"/>
            <w:r w:rsidRPr="00B719A2">
              <w:t>dist</w:t>
            </w:r>
            <w:proofErr w:type="spellEnd"/>
          </w:p>
        </w:tc>
        <w:tc>
          <w:tcPr>
            <w:tcW w:w="0" w:type="auto"/>
            <w:vAlign w:val="center"/>
            <w:hideMark/>
          </w:tcPr>
          <w:p w14:paraId="15909FA9" w14:textId="77777777" w:rsidR="00B719A2" w:rsidRPr="00B719A2" w:rsidRDefault="00B719A2" w:rsidP="00B719A2">
            <w:proofErr w:type="spellStart"/>
            <w:r w:rsidRPr="00B719A2">
              <w:t>Netlify</w:t>
            </w:r>
            <w:proofErr w:type="spellEnd"/>
            <w:r w:rsidRPr="00B719A2">
              <w:t xml:space="preserve"> </w:t>
            </w:r>
            <w:proofErr w:type="spellStart"/>
            <w:r w:rsidRPr="00B719A2">
              <w:t>Functions</w:t>
            </w:r>
            <w:proofErr w:type="spellEnd"/>
          </w:p>
        </w:tc>
      </w:tr>
      <w:tr w:rsidR="00B719A2" w:rsidRPr="00B719A2" w14:paraId="7BD0AE7B" w14:textId="77777777">
        <w:trPr>
          <w:tblCellSpacing w:w="15" w:type="dxa"/>
        </w:trPr>
        <w:tc>
          <w:tcPr>
            <w:tcW w:w="0" w:type="auto"/>
            <w:vAlign w:val="center"/>
            <w:hideMark/>
          </w:tcPr>
          <w:p w14:paraId="74F15DBA" w14:textId="77777777" w:rsidR="00B719A2" w:rsidRPr="00B719A2" w:rsidRDefault="00B719A2" w:rsidP="00B719A2">
            <w:r w:rsidRPr="00B719A2">
              <w:t>Next.js (</w:t>
            </w:r>
            <w:proofErr w:type="spellStart"/>
            <w:r w:rsidRPr="00B719A2">
              <w:t>Adapter</w:t>
            </w:r>
            <w:proofErr w:type="spellEnd"/>
            <w:r w:rsidRPr="00B719A2">
              <w:t xml:space="preserve"> v5)</w:t>
            </w:r>
          </w:p>
        </w:tc>
        <w:tc>
          <w:tcPr>
            <w:tcW w:w="0" w:type="auto"/>
            <w:vAlign w:val="center"/>
            <w:hideMark/>
          </w:tcPr>
          <w:p w14:paraId="6AA5AD91" w14:textId="77777777" w:rsidR="00B719A2" w:rsidRPr="00B719A2" w:rsidRDefault="00B719A2" w:rsidP="00B719A2">
            <w:proofErr w:type="spellStart"/>
            <w:r w:rsidRPr="00B719A2">
              <w:t>next</w:t>
            </w:r>
            <w:proofErr w:type="spellEnd"/>
            <w:r w:rsidRPr="00B719A2">
              <w:t xml:space="preserve"> </w:t>
            </w:r>
            <w:proofErr w:type="spellStart"/>
            <w:r w:rsidRPr="00B719A2">
              <w:t>build</w:t>
            </w:r>
            <w:proofErr w:type="spellEnd"/>
          </w:p>
        </w:tc>
        <w:tc>
          <w:tcPr>
            <w:tcW w:w="0" w:type="auto"/>
            <w:vAlign w:val="center"/>
            <w:hideMark/>
          </w:tcPr>
          <w:p w14:paraId="71007D66" w14:textId="77777777" w:rsidR="00B719A2" w:rsidRPr="00B719A2" w:rsidRDefault="00B719A2" w:rsidP="00B719A2">
            <w:proofErr w:type="gramStart"/>
            <w:r w:rsidRPr="00B719A2">
              <w:t>.</w:t>
            </w:r>
            <w:proofErr w:type="spellStart"/>
            <w:r w:rsidRPr="00B719A2">
              <w:t>next</w:t>
            </w:r>
            <w:proofErr w:type="spellEnd"/>
            <w:proofErr w:type="gramEnd"/>
          </w:p>
        </w:tc>
        <w:tc>
          <w:tcPr>
            <w:tcW w:w="0" w:type="auto"/>
            <w:vAlign w:val="center"/>
            <w:hideMark/>
          </w:tcPr>
          <w:p w14:paraId="3AD79735" w14:textId="77777777" w:rsidR="00B719A2" w:rsidRPr="00B719A2" w:rsidRDefault="00B719A2" w:rsidP="00B719A2">
            <w:proofErr w:type="spellStart"/>
            <w:r w:rsidRPr="00B719A2">
              <w:t>Functions</w:t>
            </w:r>
            <w:proofErr w:type="spellEnd"/>
            <w:r w:rsidRPr="00B719A2">
              <w:t xml:space="preserve"> / Edge</w:t>
            </w:r>
          </w:p>
        </w:tc>
      </w:tr>
      <w:tr w:rsidR="00B719A2" w:rsidRPr="00B719A2" w14:paraId="67253F26" w14:textId="77777777">
        <w:trPr>
          <w:tblCellSpacing w:w="15" w:type="dxa"/>
        </w:trPr>
        <w:tc>
          <w:tcPr>
            <w:tcW w:w="0" w:type="auto"/>
            <w:vAlign w:val="center"/>
            <w:hideMark/>
          </w:tcPr>
          <w:p w14:paraId="0FC2A9E9" w14:textId="77777777" w:rsidR="00B719A2" w:rsidRPr="00B719A2" w:rsidRDefault="00B719A2" w:rsidP="00B719A2">
            <w:proofErr w:type="spellStart"/>
            <w:r w:rsidRPr="00B719A2">
              <w:t>Nuxt</w:t>
            </w:r>
            <w:proofErr w:type="spellEnd"/>
          </w:p>
        </w:tc>
        <w:tc>
          <w:tcPr>
            <w:tcW w:w="0" w:type="auto"/>
            <w:vAlign w:val="center"/>
            <w:hideMark/>
          </w:tcPr>
          <w:p w14:paraId="39FD019F" w14:textId="77777777" w:rsidR="00B719A2" w:rsidRPr="00B719A2" w:rsidRDefault="00B719A2" w:rsidP="00B719A2">
            <w:proofErr w:type="spellStart"/>
            <w:r w:rsidRPr="00B719A2">
              <w:t>npm</w:t>
            </w:r>
            <w:proofErr w:type="spellEnd"/>
            <w:r w:rsidRPr="00B719A2">
              <w:t xml:space="preserve"> </w:t>
            </w:r>
            <w:proofErr w:type="spellStart"/>
            <w:r w:rsidRPr="00B719A2">
              <w:t>run</w:t>
            </w:r>
            <w:proofErr w:type="spellEnd"/>
            <w:r w:rsidRPr="00B719A2">
              <w:t xml:space="preserve"> </w:t>
            </w:r>
            <w:proofErr w:type="spellStart"/>
            <w:r w:rsidRPr="00B719A2">
              <w:t>build</w:t>
            </w:r>
            <w:proofErr w:type="spellEnd"/>
          </w:p>
        </w:tc>
        <w:tc>
          <w:tcPr>
            <w:tcW w:w="0" w:type="auto"/>
            <w:vAlign w:val="center"/>
            <w:hideMark/>
          </w:tcPr>
          <w:p w14:paraId="3A341085" w14:textId="77777777" w:rsidR="00B719A2" w:rsidRPr="00B719A2" w:rsidRDefault="00B719A2" w:rsidP="00B719A2">
            <w:proofErr w:type="spellStart"/>
            <w:r w:rsidRPr="00B719A2">
              <w:t>dist</w:t>
            </w:r>
            <w:proofErr w:type="spellEnd"/>
          </w:p>
        </w:tc>
        <w:tc>
          <w:tcPr>
            <w:tcW w:w="0" w:type="auto"/>
            <w:vAlign w:val="center"/>
            <w:hideMark/>
          </w:tcPr>
          <w:p w14:paraId="7A6A9D66" w14:textId="77777777" w:rsidR="00B719A2" w:rsidRPr="00B719A2" w:rsidRDefault="00B719A2" w:rsidP="00B719A2">
            <w:proofErr w:type="spellStart"/>
            <w:r w:rsidRPr="00B719A2">
              <w:t>Functions</w:t>
            </w:r>
            <w:proofErr w:type="spellEnd"/>
            <w:r w:rsidRPr="00B719A2">
              <w:t xml:space="preserve"> / Edge</w:t>
            </w:r>
          </w:p>
        </w:tc>
      </w:tr>
      <w:tr w:rsidR="00B719A2" w:rsidRPr="00B719A2" w14:paraId="5050EEF7" w14:textId="77777777">
        <w:trPr>
          <w:tblCellSpacing w:w="15" w:type="dxa"/>
        </w:trPr>
        <w:tc>
          <w:tcPr>
            <w:tcW w:w="0" w:type="auto"/>
            <w:vAlign w:val="center"/>
            <w:hideMark/>
          </w:tcPr>
          <w:p w14:paraId="1AF480A1" w14:textId="77777777" w:rsidR="00B719A2" w:rsidRPr="00B719A2" w:rsidRDefault="00B719A2" w:rsidP="00B719A2">
            <w:proofErr w:type="spellStart"/>
            <w:r w:rsidRPr="00B719A2">
              <w:t>Astro</w:t>
            </w:r>
            <w:proofErr w:type="spellEnd"/>
          </w:p>
        </w:tc>
        <w:tc>
          <w:tcPr>
            <w:tcW w:w="0" w:type="auto"/>
            <w:vAlign w:val="center"/>
            <w:hideMark/>
          </w:tcPr>
          <w:p w14:paraId="30F76294" w14:textId="77777777" w:rsidR="00B719A2" w:rsidRPr="00B719A2" w:rsidRDefault="00B719A2" w:rsidP="00B719A2">
            <w:proofErr w:type="spellStart"/>
            <w:r w:rsidRPr="00B719A2">
              <w:t>astro</w:t>
            </w:r>
            <w:proofErr w:type="spellEnd"/>
            <w:r w:rsidRPr="00B719A2">
              <w:t xml:space="preserve"> </w:t>
            </w:r>
            <w:proofErr w:type="spellStart"/>
            <w:r w:rsidRPr="00B719A2">
              <w:t>build</w:t>
            </w:r>
            <w:proofErr w:type="spellEnd"/>
          </w:p>
        </w:tc>
        <w:tc>
          <w:tcPr>
            <w:tcW w:w="0" w:type="auto"/>
            <w:vAlign w:val="center"/>
            <w:hideMark/>
          </w:tcPr>
          <w:p w14:paraId="1D8D8330" w14:textId="77777777" w:rsidR="00B719A2" w:rsidRPr="00B719A2" w:rsidRDefault="00B719A2" w:rsidP="00B719A2">
            <w:proofErr w:type="spellStart"/>
            <w:r w:rsidRPr="00B719A2">
              <w:t>dist</w:t>
            </w:r>
            <w:proofErr w:type="spellEnd"/>
          </w:p>
        </w:tc>
        <w:tc>
          <w:tcPr>
            <w:tcW w:w="0" w:type="auto"/>
            <w:vAlign w:val="center"/>
            <w:hideMark/>
          </w:tcPr>
          <w:p w14:paraId="58EE7D7C" w14:textId="77777777" w:rsidR="00B719A2" w:rsidRPr="00B719A2" w:rsidRDefault="00B719A2" w:rsidP="00B719A2">
            <w:proofErr w:type="spellStart"/>
            <w:r w:rsidRPr="00B719A2">
              <w:t>Functions</w:t>
            </w:r>
            <w:proofErr w:type="spellEnd"/>
            <w:r w:rsidRPr="00B719A2">
              <w:t xml:space="preserve"> / Edge</w:t>
            </w:r>
          </w:p>
        </w:tc>
      </w:tr>
      <w:tr w:rsidR="00B719A2" w:rsidRPr="00B719A2" w14:paraId="11110558" w14:textId="77777777">
        <w:trPr>
          <w:tblCellSpacing w:w="15" w:type="dxa"/>
        </w:trPr>
        <w:tc>
          <w:tcPr>
            <w:tcW w:w="0" w:type="auto"/>
            <w:vAlign w:val="center"/>
            <w:hideMark/>
          </w:tcPr>
          <w:p w14:paraId="4BEC494E" w14:textId="77777777" w:rsidR="00B719A2" w:rsidRPr="00B719A2" w:rsidRDefault="00B719A2" w:rsidP="00B719A2">
            <w:proofErr w:type="spellStart"/>
            <w:r w:rsidRPr="00B719A2">
              <w:lastRenderedPageBreak/>
              <w:t>Angular</w:t>
            </w:r>
            <w:proofErr w:type="spellEnd"/>
            <w:r w:rsidRPr="00B719A2">
              <w:t xml:space="preserve"> (Standard)</w:t>
            </w:r>
          </w:p>
        </w:tc>
        <w:tc>
          <w:tcPr>
            <w:tcW w:w="0" w:type="auto"/>
            <w:vAlign w:val="center"/>
            <w:hideMark/>
          </w:tcPr>
          <w:p w14:paraId="42C50B6E" w14:textId="77777777" w:rsidR="00B719A2" w:rsidRPr="00B719A2" w:rsidRDefault="00B719A2" w:rsidP="00B719A2">
            <w:proofErr w:type="spellStart"/>
            <w:r w:rsidRPr="00B719A2">
              <w:t>ng</w:t>
            </w:r>
            <w:proofErr w:type="spellEnd"/>
            <w:r w:rsidRPr="00B719A2">
              <w:t xml:space="preserve"> </w:t>
            </w:r>
            <w:proofErr w:type="spellStart"/>
            <w:r w:rsidRPr="00B719A2">
              <w:t>build</w:t>
            </w:r>
            <w:proofErr w:type="spellEnd"/>
            <w:r w:rsidRPr="00B719A2">
              <w:t xml:space="preserve"> --</w:t>
            </w:r>
            <w:proofErr w:type="spellStart"/>
            <w:r w:rsidRPr="00B719A2">
              <w:t>prod</w:t>
            </w:r>
            <w:proofErr w:type="spellEnd"/>
          </w:p>
        </w:tc>
        <w:tc>
          <w:tcPr>
            <w:tcW w:w="0" w:type="auto"/>
            <w:vAlign w:val="center"/>
            <w:hideMark/>
          </w:tcPr>
          <w:p w14:paraId="1C54497D" w14:textId="77777777" w:rsidR="00B719A2" w:rsidRPr="00B719A2" w:rsidRDefault="00B719A2" w:rsidP="00B719A2">
            <w:proofErr w:type="spellStart"/>
            <w:r w:rsidRPr="00B719A2">
              <w:t>dist</w:t>
            </w:r>
            <w:proofErr w:type="spellEnd"/>
            <w:r w:rsidRPr="00B719A2">
              <w:t>/PROJECT_NAME</w:t>
            </w:r>
          </w:p>
        </w:tc>
        <w:tc>
          <w:tcPr>
            <w:tcW w:w="0" w:type="auto"/>
            <w:vAlign w:val="center"/>
            <w:hideMark/>
          </w:tcPr>
          <w:p w14:paraId="689401AC" w14:textId="77777777" w:rsidR="00B719A2" w:rsidRPr="00B719A2" w:rsidRDefault="00B719A2" w:rsidP="00B719A2">
            <w:proofErr w:type="spellStart"/>
            <w:r w:rsidRPr="00B719A2">
              <w:t>Static</w:t>
            </w:r>
            <w:proofErr w:type="spellEnd"/>
            <w:r w:rsidRPr="00B719A2">
              <w:t xml:space="preserve"> CDN</w:t>
            </w:r>
          </w:p>
        </w:tc>
      </w:tr>
      <w:tr w:rsidR="00B719A2" w:rsidRPr="00B719A2" w14:paraId="284A45B5" w14:textId="77777777">
        <w:trPr>
          <w:tblCellSpacing w:w="15" w:type="dxa"/>
        </w:trPr>
        <w:tc>
          <w:tcPr>
            <w:tcW w:w="0" w:type="auto"/>
            <w:vAlign w:val="center"/>
            <w:hideMark/>
          </w:tcPr>
          <w:p w14:paraId="5506BCFC" w14:textId="77777777" w:rsidR="00B719A2" w:rsidRPr="00B719A2" w:rsidRDefault="00B719A2" w:rsidP="00B719A2">
            <w:proofErr w:type="spellStart"/>
            <w:r w:rsidRPr="00B719A2">
              <w:t>RedwoodJS</w:t>
            </w:r>
            <w:proofErr w:type="spellEnd"/>
          </w:p>
        </w:tc>
        <w:tc>
          <w:tcPr>
            <w:tcW w:w="0" w:type="auto"/>
            <w:vAlign w:val="center"/>
            <w:hideMark/>
          </w:tcPr>
          <w:p w14:paraId="7E8CFC57" w14:textId="77777777" w:rsidR="00B719A2" w:rsidRPr="00B719A2" w:rsidRDefault="00B719A2" w:rsidP="00B719A2">
            <w:proofErr w:type="spellStart"/>
            <w:r w:rsidRPr="00B719A2">
              <w:t>yarn</w:t>
            </w:r>
            <w:proofErr w:type="spellEnd"/>
            <w:r w:rsidRPr="00B719A2">
              <w:t xml:space="preserve"> </w:t>
            </w:r>
            <w:proofErr w:type="spellStart"/>
            <w:r w:rsidRPr="00B719A2">
              <w:t>rw</w:t>
            </w:r>
            <w:proofErr w:type="spellEnd"/>
            <w:r w:rsidRPr="00B719A2">
              <w:t xml:space="preserve"> </w:t>
            </w:r>
            <w:proofErr w:type="spellStart"/>
            <w:r w:rsidRPr="00B719A2">
              <w:t>build</w:t>
            </w:r>
            <w:proofErr w:type="spellEnd"/>
          </w:p>
        </w:tc>
        <w:tc>
          <w:tcPr>
            <w:tcW w:w="0" w:type="auto"/>
            <w:vAlign w:val="center"/>
            <w:hideMark/>
          </w:tcPr>
          <w:p w14:paraId="01B98BEC" w14:textId="77777777" w:rsidR="00B719A2" w:rsidRPr="00B719A2" w:rsidRDefault="00B719A2" w:rsidP="00B719A2">
            <w:r w:rsidRPr="00B719A2">
              <w:t>web/</w:t>
            </w:r>
            <w:proofErr w:type="spellStart"/>
            <w:r w:rsidRPr="00B719A2">
              <w:t>dist</w:t>
            </w:r>
            <w:proofErr w:type="spellEnd"/>
          </w:p>
        </w:tc>
        <w:tc>
          <w:tcPr>
            <w:tcW w:w="0" w:type="auto"/>
            <w:vAlign w:val="center"/>
            <w:hideMark/>
          </w:tcPr>
          <w:p w14:paraId="46398904" w14:textId="77777777" w:rsidR="00B719A2" w:rsidRPr="00B719A2" w:rsidRDefault="00B719A2" w:rsidP="00B719A2">
            <w:proofErr w:type="spellStart"/>
            <w:r w:rsidRPr="00B719A2">
              <w:t>Functions</w:t>
            </w:r>
            <w:proofErr w:type="spellEnd"/>
          </w:p>
        </w:tc>
      </w:tr>
    </w:tbl>
    <w:p w14:paraId="446106C6" w14:textId="77777777" w:rsidR="00B719A2" w:rsidRPr="00B719A2" w:rsidRDefault="00B719A2" w:rsidP="00B719A2">
      <w:pPr>
        <w:rPr>
          <w:lang w:val="en-GB"/>
        </w:rPr>
      </w:pPr>
      <w:r w:rsidRPr="00B719A2">
        <w:rPr>
          <w:lang w:val="en-GB"/>
        </w:rPr>
        <w:t>For TanStack Start applications, the Nitro configuration can be manually tuned using a compatibility date. Setting this date to ≥ 2024-05-07 enables Netlify Functions v2, which grants access to streaming responses and native Netlify Blobs integration. This transition is critical for modern React applications that rely on streaming for improved perceived performance and dynamic data handling.</w:t>
      </w:r>
    </w:p>
    <w:p w14:paraId="594DA17C" w14:textId="77777777" w:rsidR="00B719A2" w:rsidRPr="00B719A2" w:rsidRDefault="00B719A2" w:rsidP="00B719A2">
      <w:pPr>
        <w:rPr>
          <w:b/>
          <w:bCs/>
          <w:lang w:val="en-GB"/>
        </w:rPr>
      </w:pPr>
      <w:r w:rsidRPr="00B719A2">
        <w:rPr>
          <w:b/>
          <w:bCs/>
          <w:lang w:val="en-GB"/>
        </w:rPr>
        <w:t>Compute Architecture: Serverless Runtimes and Edge Isolates</w:t>
      </w:r>
    </w:p>
    <w:p w14:paraId="1238FDCC" w14:textId="77777777" w:rsidR="00B719A2" w:rsidRPr="00B719A2" w:rsidRDefault="00B719A2" w:rsidP="00B719A2">
      <w:pPr>
        <w:rPr>
          <w:lang w:val="en-GB"/>
        </w:rPr>
      </w:pPr>
      <w:r w:rsidRPr="00B719A2">
        <w:rPr>
          <w:lang w:val="en-GB"/>
        </w:rPr>
        <w:t>Netlify provides a tiered compute model that balances execution duration with global latency. The two primary compute primitives are Netlify Functions and Netlify Edge Functions, each serving distinct architectural roles within a full-stack application.</w:t>
      </w:r>
    </w:p>
    <w:p w14:paraId="2F6D363B" w14:textId="77777777" w:rsidR="00B719A2" w:rsidRPr="00B719A2" w:rsidRDefault="00B719A2" w:rsidP="00B719A2">
      <w:pPr>
        <w:rPr>
          <w:b/>
          <w:bCs/>
          <w:lang w:val="en-GB"/>
        </w:rPr>
      </w:pPr>
      <w:r w:rsidRPr="00B719A2">
        <w:rPr>
          <w:b/>
          <w:bCs/>
          <w:lang w:val="en-GB"/>
        </w:rPr>
        <w:t>Netlify Functions: Regional Serverless Execution</w:t>
      </w:r>
    </w:p>
    <w:p w14:paraId="0BC634FA" w14:textId="77777777" w:rsidR="00B719A2" w:rsidRPr="00B719A2" w:rsidRDefault="00B719A2" w:rsidP="00B719A2">
      <w:pPr>
        <w:rPr>
          <w:lang w:val="en-GB"/>
        </w:rPr>
      </w:pPr>
      <w:r w:rsidRPr="00B719A2">
        <w:rPr>
          <w:lang w:val="en-GB"/>
        </w:rPr>
        <w:t>Netlify Functions are traditional serverless functions built on top of AWS Lambda infrastructure. These functions are optimized for operations that require significant memory, long execution times, or access to Node.js-specific libraries. For sites created after October 4, 2023, the default deployment region is us-east-2, although this can be customized for Enterprise and Pro accounts.</w:t>
      </w:r>
    </w:p>
    <w:p w14:paraId="4DEB0F7F" w14:textId="77777777" w:rsidR="00B719A2" w:rsidRPr="00B719A2" w:rsidRDefault="00B719A2" w:rsidP="00B719A2">
      <w:pPr>
        <w:rPr>
          <w:lang w:val="en-GB"/>
        </w:rPr>
      </w:pPr>
      <w:r w:rsidRPr="00B719A2">
        <w:rPr>
          <w:lang w:val="en-GB"/>
        </w:rPr>
        <w:t>The Node.js environment within Netlify Functions is currently undergoing a major version migration. On February 24, 2025, the default system Node.js version will upgrade from v18 to v22. This update allows developers to utilize modern JavaScript features, performance improvements, and security patches inherent in the v22 LTS (Long Term Support) branch. Developers can control the Node.js version for their functions through the AWS_LAMBDA_JS_RUNTIME environment variable or by pinning the version in the Netlify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1389"/>
        <w:gridCol w:w="4443"/>
      </w:tblGrid>
      <w:tr w:rsidR="00B719A2" w:rsidRPr="00B719A2" w14:paraId="498904A6" w14:textId="77777777">
        <w:trPr>
          <w:tblCellSpacing w:w="15" w:type="dxa"/>
        </w:trPr>
        <w:tc>
          <w:tcPr>
            <w:tcW w:w="0" w:type="auto"/>
            <w:vAlign w:val="center"/>
            <w:hideMark/>
          </w:tcPr>
          <w:p w14:paraId="4DBE4936" w14:textId="77777777" w:rsidR="00B719A2" w:rsidRPr="00B719A2" w:rsidRDefault="00B719A2" w:rsidP="00B719A2">
            <w:pPr>
              <w:rPr>
                <w:b/>
                <w:bCs/>
              </w:rPr>
            </w:pPr>
            <w:proofErr w:type="spellStart"/>
            <w:r w:rsidRPr="00B719A2">
              <w:rPr>
                <w:b/>
                <w:bCs/>
              </w:rPr>
              <w:t>Parameter</w:t>
            </w:r>
            <w:proofErr w:type="spellEnd"/>
          </w:p>
        </w:tc>
        <w:tc>
          <w:tcPr>
            <w:tcW w:w="0" w:type="auto"/>
            <w:vAlign w:val="center"/>
            <w:hideMark/>
          </w:tcPr>
          <w:p w14:paraId="180B80CD" w14:textId="77777777" w:rsidR="00B719A2" w:rsidRPr="00B719A2" w:rsidRDefault="00B719A2" w:rsidP="00B719A2">
            <w:pPr>
              <w:rPr>
                <w:b/>
                <w:bCs/>
              </w:rPr>
            </w:pPr>
            <w:proofErr w:type="spellStart"/>
            <w:r w:rsidRPr="00B719A2">
              <w:rPr>
                <w:b/>
                <w:bCs/>
              </w:rPr>
              <w:t>Specification</w:t>
            </w:r>
            <w:proofErr w:type="spellEnd"/>
          </w:p>
        </w:tc>
        <w:tc>
          <w:tcPr>
            <w:tcW w:w="0" w:type="auto"/>
            <w:vAlign w:val="center"/>
            <w:hideMark/>
          </w:tcPr>
          <w:p w14:paraId="0C58E655" w14:textId="77777777" w:rsidR="00B719A2" w:rsidRPr="00B719A2" w:rsidRDefault="00B719A2" w:rsidP="00B719A2">
            <w:pPr>
              <w:rPr>
                <w:b/>
                <w:bCs/>
              </w:rPr>
            </w:pPr>
            <w:proofErr w:type="spellStart"/>
            <w:r w:rsidRPr="00B719A2">
              <w:rPr>
                <w:b/>
                <w:bCs/>
              </w:rPr>
              <w:t>Limitations</w:t>
            </w:r>
            <w:proofErr w:type="spellEnd"/>
            <w:r w:rsidRPr="00B719A2">
              <w:rPr>
                <w:b/>
                <w:bCs/>
              </w:rPr>
              <w:t xml:space="preserve"> / Notes</w:t>
            </w:r>
          </w:p>
        </w:tc>
      </w:tr>
      <w:tr w:rsidR="00B719A2" w:rsidRPr="00B719A2" w14:paraId="75293EFC" w14:textId="77777777">
        <w:trPr>
          <w:tblCellSpacing w:w="15" w:type="dxa"/>
        </w:trPr>
        <w:tc>
          <w:tcPr>
            <w:tcW w:w="0" w:type="auto"/>
            <w:vAlign w:val="center"/>
            <w:hideMark/>
          </w:tcPr>
          <w:p w14:paraId="28842FDE" w14:textId="77777777" w:rsidR="00B719A2" w:rsidRPr="00B719A2" w:rsidRDefault="00B719A2" w:rsidP="00B719A2">
            <w:r w:rsidRPr="00B719A2">
              <w:t xml:space="preserve">Memory </w:t>
            </w:r>
            <w:proofErr w:type="spellStart"/>
            <w:r w:rsidRPr="00B719A2">
              <w:t>Allocation</w:t>
            </w:r>
            <w:proofErr w:type="spellEnd"/>
          </w:p>
        </w:tc>
        <w:tc>
          <w:tcPr>
            <w:tcW w:w="0" w:type="auto"/>
            <w:vAlign w:val="center"/>
            <w:hideMark/>
          </w:tcPr>
          <w:p w14:paraId="722D3023" w14:textId="77777777" w:rsidR="00B719A2" w:rsidRPr="00B719A2" w:rsidRDefault="00B719A2" w:rsidP="00B719A2">
            <w:r w:rsidRPr="00B719A2">
              <w:t>1024 MB</w:t>
            </w:r>
          </w:p>
        </w:tc>
        <w:tc>
          <w:tcPr>
            <w:tcW w:w="0" w:type="auto"/>
            <w:vAlign w:val="center"/>
            <w:hideMark/>
          </w:tcPr>
          <w:p w14:paraId="4A9C9C69" w14:textId="77777777" w:rsidR="00B719A2" w:rsidRPr="00B719A2" w:rsidRDefault="00B719A2" w:rsidP="00B719A2">
            <w:r w:rsidRPr="00B719A2">
              <w:t xml:space="preserve">Standard </w:t>
            </w:r>
            <w:proofErr w:type="spellStart"/>
            <w:r w:rsidRPr="00B719A2">
              <w:t>across</w:t>
            </w:r>
            <w:proofErr w:type="spellEnd"/>
            <w:r w:rsidRPr="00B719A2">
              <w:t xml:space="preserve"> </w:t>
            </w:r>
            <w:proofErr w:type="spellStart"/>
            <w:r w:rsidRPr="00B719A2">
              <w:t>all</w:t>
            </w:r>
            <w:proofErr w:type="spellEnd"/>
            <w:r w:rsidRPr="00B719A2">
              <w:t xml:space="preserve"> </w:t>
            </w:r>
            <w:proofErr w:type="spellStart"/>
            <w:r w:rsidRPr="00B719A2">
              <w:t>tiers</w:t>
            </w:r>
            <w:proofErr w:type="spellEnd"/>
          </w:p>
        </w:tc>
      </w:tr>
      <w:tr w:rsidR="00B719A2" w:rsidRPr="00B719A2" w14:paraId="117ABE75" w14:textId="77777777">
        <w:trPr>
          <w:tblCellSpacing w:w="15" w:type="dxa"/>
        </w:trPr>
        <w:tc>
          <w:tcPr>
            <w:tcW w:w="0" w:type="auto"/>
            <w:vAlign w:val="center"/>
            <w:hideMark/>
          </w:tcPr>
          <w:p w14:paraId="4A623764" w14:textId="77777777" w:rsidR="00B719A2" w:rsidRPr="00B719A2" w:rsidRDefault="00B719A2" w:rsidP="00B719A2">
            <w:proofErr w:type="spellStart"/>
            <w:r w:rsidRPr="00B719A2">
              <w:t>Execution</w:t>
            </w:r>
            <w:proofErr w:type="spellEnd"/>
            <w:r w:rsidRPr="00B719A2">
              <w:t xml:space="preserve"> </w:t>
            </w:r>
            <w:proofErr w:type="spellStart"/>
            <w:r w:rsidRPr="00B719A2">
              <w:t>Limit</w:t>
            </w:r>
            <w:proofErr w:type="spellEnd"/>
            <w:r w:rsidRPr="00B719A2">
              <w:t xml:space="preserve"> (</w:t>
            </w:r>
            <w:proofErr w:type="spellStart"/>
            <w:r w:rsidRPr="00B719A2">
              <w:t>Sync</w:t>
            </w:r>
            <w:proofErr w:type="spellEnd"/>
            <w:r w:rsidRPr="00B719A2">
              <w:t>)</w:t>
            </w:r>
          </w:p>
        </w:tc>
        <w:tc>
          <w:tcPr>
            <w:tcW w:w="0" w:type="auto"/>
            <w:vAlign w:val="center"/>
            <w:hideMark/>
          </w:tcPr>
          <w:p w14:paraId="34F3DC42" w14:textId="77777777" w:rsidR="00B719A2" w:rsidRPr="00B719A2" w:rsidRDefault="00B719A2" w:rsidP="00B719A2">
            <w:r w:rsidRPr="00B719A2">
              <w:t xml:space="preserve">60 </w:t>
            </w:r>
            <w:proofErr w:type="spellStart"/>
            <w:r w:rsidRPr="00B719A2">
              <w:t>seconds</w:t>
            </w:r>
            <w:proofErr w:type="spellEnd"/>
          </w:p>
        </w:tc>
        <w:tc>
          <w:tcPr>
            <w:tcW w:w="0" w:type="auto"/>
            <w:vAlign w:val="center"/>
            <w:hideMark/>
          </w:tcPr>
          <w:p w14:paraId="0A559D28" w14:textId="77777777" w:rsidR="00B719A2" w:rsidRPr="00B719A2" w:rsidRDefault="00B719A2" w:rsidP="00B719A2">
            <w:proofErr w:type="spellStart"/>
            <w:r w:rsidRPr="00B719A2">
              <w:t>Includes</w:t>
            </w:r>
            <w:proofErr w:type="spellEnd"/>
            <w:r w:rsidRPr="00B719A2">
              <w:t xml:space="preserve"> </w:t>
            </w:r>
            <w:proofErr w:type="spellStart"/>
            <w:r w:rsidRPr="00B719A2">
              <w:t>scheduled</w:t>
            </w:r>
            <w:proofErr w:type="spellEnd"/>
            <w:r w:rsidRPr="00B719A2">
              <w:t xml:space="preserve"> </w:t>
            </w:r>
            <w:proofErr w:type="spellStart"/>
            <w:r w:rsidRPr="00B719A2">
              <w:t>functions</w:t>
            </w:r>
            <w:proofErr w:type="spellEnd"/>
          </w:p>
        </w:tc>
      </w:tr>
      <w:tr w:rsidR="00B719A2" w:rsidRPr="00B719A2" w14:paraId="08EB7C4F" w14:textId="77777777">
        <w:trPr>
          <w:tblCellSpacing w:w="15" w:type="dxa"/>
        </w:trPr>
        <w:tc>
          <w:tcPr>
            <w:tcW w:w="0" w:type="auto"/>
            <w:vAlign w:val="center"/>
            <w:hideMark/>
          </w:tcPr>
          <w:p w14:paraId="2CE94773" w14:textId="77777777" w:rsidR="00B719A2" w:rsidRPr="00B719A2" w:rsidRDefault="00B719A2" w:rsidP="00B719A2">
            <w:proofErr w:type="spellStart"/>
            <w:r w:rsidRPr="00B719A2">
              <w:t>Execution</w:t>
            </w:r>
            <w:proofErr w:type="spellEnd"/>
            <w:r w:rsidRPr="00B719A2">
              <w:t xml:space="preserve"> </w:t>
            </w:r>
            <w:proofErr w:type="spellStart"/>
            <w:r w:rsidRPr="00B719A2">
              <w:t>Limit</w:t>
            </w:r>
            <w:proofErr w:type="spellEnd"/>
            <w:r w:rsidRPr="00B719A2">
              <w:t xml:space="preserve"> (</w:t>
            </w:r>
            <w:proofErr w:type="spellStart"/>
            <w:r w:rsidRPr="00B719A2">
              <w:t>Background</w:t>
            </w:r>
            <w:proofErr w:type="spellEnd"/>
            <w:r w:rsidRPr="00B719A2">
              <w:t>)</w:t>
            </w:r>
          </w:p>
        </w:tc>
        <w:tc>
          <w:tcPr>
            <w:tcW w:w="0" w:type="auto"/>
            <w:vAlign w:val="center"/>
            <w:hideMark/>
          </w:tcPr>
          <w:p w14:paraId="0C66E26B" w14:textId="77777777" w:rsidR="00B719A2" w:rsidRPr="00B719A2" w:rsidRDefault="00B719A2" w:rsidP="00B719A2">
            <w:r w:rsidRPr="00B719A2">
              <w:t xml:space="preserve">15 </w:t>
            </w:r>
            <w:proofErr w:type="spellStart"/>
            <w:r w:rsidRPr="00B719A2">
              <w:t>minutes</w:t>
            </w:r>
            <w:proofErr w:type="spellEnd"/>
          </w:p>
        </w:tc>
        <w:tc>
          <w:tcPr>
            <w:tcW w:w="0" w:type="auto"/>
            <w:vAlign w:val="center"/>
            <w:hideMark/>
          </w:tcPr>
          <w:p w14:paraId="6208DBF7" w14:textId="77777777" w:rsidR="00B719A2" w:rsidRPr="00B719A2" w:rsidRDefault="00B719A2" w:rsidP="00B719A2">
            <w:proofErr w:type="spellStart"/>
            <w:r w:rsidRPr="00B719A2">
              <w:t>Asynchronous</w:t>
            </w:r>
            <w:proofErr w:type="spellEnd"/>
            <w:r w:rsidRPr="00B719A2">
              <w:t xml:space="preserve"> </w:t>
            </w:r>
            <w:proofErr w:type="spellStart"/>
            <w:r w:rsidRPr="00B719A2">
              <w:t>invocation</w:t>
            </w:r>
            <w:proofErr w:type="spellEnd"/>
            <w:r w:rsidRPr="00B719A2">
              <w:t xml:space="preserve"> </w:t>
            </w:r>
            <w:proofErr w:type="spellStart"/>
            <w:r w:rsidRPr="00B719A2">
              <w:t>only</w:t>
            </w:r>
            <w:proofErr w:type="spellEnd"/>
          </w:p>
        </w:tc>
      </w:tr>
      <w:tr w:rsidR="00B719A2" w:rsidRPr="00B719A2" w14:paraId="1C675B89" w14:textId="77777777">
        <w:trPr>
          <w:tblCellSpacing w:w="15" w:type="dxa"/>
        </w:trPr>
        <w:tc>
          <w:tcPr>
            <w:tcW w:w="0" w:type="auto"/>
            <w:vAlign w:val="center"/>
            <w:hideMark/>
          </w:tcPr>
          <w:p w14:paraId="4D0C938D" w14:textId="77777777" w:rsidR="00B719A2" w:rsidRPr="00B719A2" w:rsidRDefault="00B719A2" w:rsidP="00B719A2">
            <w:proofErr w:type="spellStart"/>
            <w:r w:rsidRPr="00B719A2">
              <w:t>Payload</w:t>
            </w:r>
            <w:proofErr w:type="spellEnd"/>
            <w:r w:rsidRPr="00B719A2">
              <w:t xml:space="preserve"> </w:t>
            </w:r>
            <w:proofErr w:type="spellStart"/>
            <w:r w:rsidRPr="00B719A2">
              <w:t>Limit</w:t>
            </w:r>
            <w:proofErr w:type="spellEnd"/>
            <w:r w:rsidRPr="00B719A2">
              <w:t xml:space="preserve"> (</w:t>
            </w:r>
            <w:proofErr w:type="spellStart"/>
            <w:r w:rsidRPr="00B719A2">
              <w:t>Buffered</w:t>
            </w:r>
            <w:proofErr w:type="spellEnd"/>
            <w:r w:rsidRPr="00B719A2">
              <w:t>)</w:t>
            </w:r>
          </w:p>
        </w:tc>
        <w:tc>
          <w:tcPr>
            <w:tcW w:w="0" w:type="auto"/>
            <w:vAlign w:val="center"/>
            <w:hideMark/>
          </w:tcPr>
          <w:p w14:paraId="7685728B" w14:textId="77777777" w:rsidR="00B719A2" w:rsidRPr="00B719A2" w:rsidRDefault="00B719A2" w:rsidP="00B719A2">
            <w:r w:rsidRPr="00B719A2">
              <w:t>6 MB</w:t>
            </w:r>
          </w:p>
        </w:tc>
        <w:tc>
          <w:tcPr>
            <w:tcW w:w="0" w:type="auto"/>
            <w:vAlign w:val="center"/>
            <w:hideMark/>
          </w:tcPr>
          <w:p w14:paraId="78883508" w14:textId="77777777" w:rsidR="00B719A2" w:rsidRPr="00B719A2" w:rsidRDefault="00B719A2" w:rsidP="00B719A2">
            <w:pPr>
              <w:rPr>
                <w:lang w:val="en-GB"/>
              </w:rPr>
            </w:pPr>
            <w:r w:rsidRPr="00B719A2">
              <w:rPr>
                <w:lang w:val="en-GB"/>
              </w:rPr>
              <w:t>Request/Response; 4.5 MB effective for binary</w:t>
            </w:r>
          </w:p>
        </w:tc>
      </w:tr>
      <w:tr w:rsidR="00B719A2" w:rsidRPr="00B719A2" w14:paraId="2739BCBB" w14:textId="77777777">
        <w:trPr>
          <w:tblCellSpacing w:w="15" w:type="dxa"/>
        </w:trPr>
        <w:tc>
          <w:tcPr>
            <w:tcW w:w="0" w:type="auto"/>
            <w:vAlign w:val="center"/>
            <w:hideMark/>
          </w:tcPr>
          <w:p w14:paraId="442F5256" w14:textId="77777777" w:rsidR="00B719A2" w:rsidRPr="00B719A2" w:rsidRDefault="00B719A2" w:rsidP="00B719A2">
            <w:proofErr w:type="spellStart"/>
            <w:r w:rsidRPr="00B719A2">
              <w:t>Payload</w:t>
            </w:r>
            <w:proofErr w:type="spellEnd"/>
            <w:r w:rsidRPr="00B719A2">
              <w:t xml:space="preserve"> </w:t>
            </w:r>
            <w:proofErr w:type="spellStart"/>
            <w:r w:rsidRPr="00B719A2">
              <w:t>Limit</w:t>
            </w:r>
            <w:proofErr w:type="spellEnd"/>
            <w:r w:rsidRPr="00B719A2">
              <w:t xml:space="preserve"> (</w:t>
            </w:r>
            <w:proofErr w:type="spellStart"/>
            <w:r w:rsidRPr="00B719A2">
              <w:t>Streamed</w:t>
            </w:r>
            <w:proofErr w:type="spellEnd"/>
            <w:r w:rsidRPr="00B719A2">
              <w:t>)</w:t>
            </w:r>
          </w:p>
        </w:tc>
        <w:tc>
          <w:tcPr>
            <w:tcW w:w="0" w:type="auto"/>
            <w:vAlign w:val="center"/>
            <w:hideMark/>
          </w:tcPr>
          <w:p w14:paraId="66769697" w14:textId="77777777" w:rsidR="00B719A2" w:rsidRPr="00B719A2" w:rsidRDefault="00B719A2" w:rsidP="00B719A2">
            <w:r w:rsidRPr="00B719A2">
              <w:t>20 MB</w:t>
            </w:r>
          </w:p>
        </w:tc>
        <w:tc>
          <w:tcPr>
            <w:tcW w:w="0" w:type="auto"/>
            <w:vAlign w:val="center"/>
            <w:hideMark/>
          </w:tcPr>
          <w:p w14:paraId="6E7C0787" w14:textId="77777777" w:rsidR="00B719A2" w:rsidRPr="00B719A2" w:rsidRDefault="00B719A2" w:rsidP="00B719A2">
            <w:proofErr w:type="spellStart"/>
            <w:r w:rsidRPr="00B719A2">
              <w:t>Available</w:t>
            </w:r>
            <w:proofErr w:type="spellEnd"/>
            <w:r w:rsidRPr="00B719A2">
              <w:t xml:space="preserve"> for </w:t>
            </w:r>
            <w:proofErr w:type="spellStart"/>
            <w:r w:rsidRPr="00B719A2">
              <w:t>Functions</w:t>
            </w:r>
            <w:proofErr w:type="spellEnd"/>
            <w:r w:rsidRPr="00B719A2">
              <w:t xml:space="preserve"> v2</w:t>
            </w:r>
          </w:p>
        </w:tc>
      </w:tr>
      <w:tr w:rsidR="00B719A2" w:rsidRPr="00B719A2" w14:paraId="6ADD6902" w14:textId="77777777">
        <w:trPr>
          <w:tblCellSpacing w:w="15" w:type="dxa"/>
        </w:trPr>
        <w:tc>
          <w:tcPr>
            <w:tcW w:w="0" w:type="auto"/>
            <w:vAlign w:val="center"/>
            <w:hideMark/>
          </w:tcPr>
          <w:p w14:paraId="6D0A20FB" w14:textId="77777777" w:rsidR="00B719A2" w:rsidRPr="00B719A2" w:rsidRDefault="00B719A2" w:rsidP="00B719A2">
            <w:proofErr w:type="spellStart"/>
            <w:r w:rsidRPr="00B719A2">
              <w:t>Region</w:t>
            </w:r>
            <w:proofErr w:type="spellEnd"/>
            <w:r w:rsidRPr="00B719A2">
              <w:t xml:space="preserve"> (</w:t>
            </w:r>
            <w:proofErr w:type="spellStart"/>
            <w:r w:rsidRPr="00B719A2">
              <w:t>Default</w:t>
            </w:r>
            <w:proofErr w:type="spellEnd"/>
            <w:r w:rsidRPr="00B719A2">
              <w:t>)</w:t>
            </w:r>
          </w:p>
        </w:tc>
        <w:tc>
          <w:tcPr>
            <w:tcW w:w="0" w:type="auto"/>
            <w:vAlign w:val="center"/>
            <w:hideMark/>
          </w:tcPr>
          <w:p w14:paraId="38A02F3A" w14:textId="77777777" w:rsidR="00B719A2" w:rsidRPr="00B719A2" w:rsidRDefault="00B719A2" w:rsidP="00B719A2">
            <w:r w:rsidRPr="00B719A2">
              <w:t>us-east-2</w:t>
            </w:r>
          </w:p>
        </w:tc>
        <w:tc>
          <w:tcPr>
            <w:tcW w:w="0" w:type="auto"/>
            <w:vAlign w:val="center"/>
            <w:hideMark/>
          </w:tcPr>
          <w:p w14:paraId="7440893A" w14:textId="77777777" w:rsidR="00B719A2" w:rsidRPr="00B719A2" w:rsidRDefault="00B719A2" w:rsidP="00B719A2">
            <w:r w:rsidRPr="00B719A2">
              <w:t xml:space="preserve">AWS Ohio </w:t>
            </w:r>
            <w:proofErr w:type="spellStart"/>
            <w:r w:rsidRPr="00B719A2">
              <w:t>region</w:t>
            </w:r>
            <w:proofErr w:type="spellEnd"/>
          </w:p>
        </w:tc>
      </w:tr>
    </w:tbl>
    <w:p w14:paraId="4B126424" w14:textId="77777777" w:rsidR="00B719A2" w:rsidRPr="00B719A2" w:rsidRDefault="00B719A2" w:rsidP="00B719A2">
      <w:pPr>
        <w:rPr>
          <w:lang w:val="en-GB"/>
        </w:rPr>
      </w:pPr>
      <w:r w:rsidRPr="00B719A2">
        <w:rPr>
          <w:lang w:val="en-GB"/>
        </w:rPr>
        <w:t>One of the more nuanced technical details involves the handling of binary data. Because binary payloads are Base64-encoded, they incur an overhead of approximately 30%, which effectively reduces the 6 MB payload limit to approximately 4.5 MB for image or file uploads.</w:t>
      </w:r>
    </w:p>
    <w:p w14:paraId="1B98A102" w14:textId="77777777" w:rsidR="00B719A2" w:rsidRPr="00B719A2" w:rsidRDefault="00B719A2" w:rsidP="00B719A2">
      <w:pPr>
        <w:rPr>
          <w:b/>
          <w:bCs/>
          <w:lang w:val="en-GB"/>
        </w:rPr>
      </w:pPr>
      <w:r w:rsidRPr="00B719A2">
        <w:rPr>
          <w:b/>
          <w:bCs/>
          <w:lang w:val="en-GB"/>
        </w:rPr>
        <w:t>Netlify Edge Functions: V8 Isolates and Deno</w:t>
      </w:r>
    </w:p>
    <w:p w14:paraId="49657ABB" w14:textId="77777777" w:rsidR="00B719A2" w:rsidRPr="00B719A2" w:rsidRDefault="00B719A2" w:rsidP="00B719A2">
      <w:pPr>
        <w:rPr>
          <w:lang w:val="en-GB"/>
        </w:rPr>
      </w:pPr>
      <w:r w:rsidRPr="00B719A2">
        <w:rPr>
          <w:lang w:val="en-GB"/>
        </w:rPr>
        <w:t xml:space="preserve">In contrast to the regional focus of serverless functions, Netlify Edge Functions execute at the global points of presence (PoPs) nearest to the end-user. These functions run in a Deno-based </w:t>
      </w:r>
      <w:r w:rsidRPr="00B719A2">
        <w:rPr>
          <w:lang w:val="en-GB"/>
        </w:rPr>
        <w:lastRenderedPageBreak/>
        <w:t>runtime environment using V8 isolates, which provides several performance advantages, most notably a drastic reduction in cold start times compared to traditional serverless environments.</w:t>
      </w:r>
    </w:p>
    <w:p w14:paraId="552229D4" w14:textId="77777777" w:rsidR="00B719A2" w:rsidRPr="00B719A2" w:rsidRDefault="00B719A2" w:rsidP="00B719A2">
      <w:pPr>
        <w:rPr>
          <w:lang w:val="en-GB"/>
        </w:rPr>
      </w:pPr>
      <w:r w:rsidRPr="00B719A2">
        <w:rPr>
          <w:lang w:val="en-GB"/>
        </w:rPr>
        <w:t>Edge functions are designed for middleware patterns, where they can modify requests or responses in real-time before they reach the CDN or the browser. This allows for dynamic personalization, geolocation-based routing, and A/B testing at the network layer. However, because they run on Deno, they do not support Node.js built-ins or CommonJS modules, requiring developers to adopt ES modules (ESM) and standard web APIs.</w:t>
      </w:r>
    </w:p>
    <w:p w14:paraId="1AAB9850" w14:textId="77777777" w:rsidR="00B719A2" w:rsidRPr="00B719A2" w:rsidRDefault="00B719A2" w:rsidP="00B719A2">
      <w:pPr>
        <w:rPr>
          <w:lang w:val="en-GB"/>
        </w:rPr>
      </w:pPr>
      <w:r w:rsidRPr="00B719A2">
        <w:rPr>
          <w:lang w:val="en-GB"/>
        </w:rPr>
        <w:t>The execution of Edge Functions is constrained by a 50 ms CPU time limit. This is a "hard" limit on the processing time used by the function, which is distinct from the wall-clock time it might take to perform an external fetch. This architecture encourages lean, performance-critical logic at the edge, while offloading heavier computations to regional serverless functions.</w:t>
      </w:r>
    </w:p>
    <w:p w14:paraId="43FEF6ED" w14:textId="77777777" w:rsidR="00B719A2" w:rsidRPr="00B719A2" w:rsidRDefault="00B719A2" w:rsidP="00B719A2">
      <w:pPr>
        <w:rPr>
          <w:b/>
          <w:bCs/>
          <w:lang w:val="en-GB"/>
        </w:rPr>
      </w:pPr>
      <w:r w:rsidRPr="00B719A2">
        <w:rPr>
          <w:b/>
          <w:bCs/>
          <w:lang w:val="en-GB"/>
        </w:rPr>
        <w:t>Performance Dynamics and Initialization Phase Billing</w:t>
      </w:r>
    </w:p>
    <w:p w14:paraId="2753AEFA" w14:textId="77777777" w:rsidR="00B719A2" w:rsidRPr="00B719A2" w:rsidRDefault="00B719A2" w:rsidP="00B719A2">
      <w:pPr>
        <w:rPr>
          <w:lang w:val="en-GB"/>
        </w:rPr>
      </w:pPr>
      <w:r w:rsidRPr="00B719A2">
        <w:rPr>
          <w:lang w:val="en-GB"/>
        </w:rPr>
        <w:t>Cold start performance is a critical metric for serverless applications, representing the time required to provision a new execution environment when a function is invoked. Netlify Functions generally exhibit cold starts between 50 ms and 500 ms, while Edge Functions are significantly faster, typically ranging from 50 ms to 200 ms.</w:t>
      </w:r>
    </w:p>
    <w:p w14:paraId="506C6E3B" w14:textId="77777777" w:rsidR="00B719A2" w:rsidRPr="00B719A2" w:rsidRDefault="00B719A2" w:rsidP="00B719A2">
      <w:pPr>
        <w:rPr>
          <w:lang w:val="en-GB"/>
        </w:rPr>
      </w:pPr>
      <w:r w:rsidRPr="00B719A2">
        <w:rPr>
          <w:lang w:val="en-GB"/>
        </w:rPr>
        <w:t>A major shift in the economic landscape of serverless compute occurred with the standardization of billing for the initialization (INIT) phase. As of August 1, 2025, the INIT phase—previously unbilled for many on-demand invocations—is included in the total billed duration. This phase encompasses the time required to bootstrap the runtime and execute any static code outside the main handler.</w:t>
      </w:r>
    </w:p>
    <w:p w14:paraId="6ACDBD39" w14:textId="77777777" w:rsidR="00B719A2" w:rsidRPr="00B719A2" w:rsidRDefault="00B719A2" w:rsidP="00B719A2">
      <w:pPr>
        <w:rPr>
          <w:lang w:val="en-GB"/>
        </w:rPr>
      </w:pPr>
      <w:r w:rsidRPr="00B719A2">
        <w:rPr>
          <w:lang w:val="en-GB"/>
        </w:rPr>
        <w:t>The INIT phase occurs primarily during "cold starts" or when a function scales up to meet demand. While cold starts typically occur in less than 1% of production invocations, the move to bill for this duration necessitates a more rigorous approach to bundle optimization and static initialization logic.</w:t>
      </w:r>
    </w:p>
    <w:p w14:paraId="71E13435" w14:textId="77777777" w:rsidR="00B719A2" w:rsidRPr="00B719A2" w:rsidRDefault="00B719A2" w:rsidP="00B719A2">
      <w:pPr>
        <w:numPr>
          <w:ilvl w:val="0"/>
          <w:numId w:val="1"/>
        </w:numPr>
        <w:rPr>
          <w:lang w:val="en-GB"/>
        </w:rPr>
      </w:pPr>
      <w:r w:rsidRPr="00B719A2">
        <w:rPr>
          <w:b/>
          <w:bCs/>
          <w:lang w:val="en-GB"/>
        </w:rPr>
        <w:t>Metric Monitoring:</w:t>
      </w:r>
      <w:r w:rsidRPr="00B719A2">
        <w:rPr>
          <w:lang w:val="en-GB"/>
        </w:rPr>
        <w:t xml:space="preserve"> Developers can track INIT duration through the REPORT log lines in CloudWatch or via Netlify's observability tools, where the "Init Duration" value is explicitly reported.</w:t>
      </w:r>
    </w:p>
    <w:p w14:paraId="679CC2DF" w14:textId="77777777" w:rsidR="00B719A2" w:rsidRPr="00B719A2" w:rsidRDefault="00B719A2" w:rsidP="00B719A2">
      <w:pPr>
        <w:numPr>
          <w:ilvl w:val="0"/>
          <w:numId w:val="1"/>
        </w:numPr>
        <w:rPr>
          <w:lang w:val="en-GB"/>
        </w:rPr>
      </w:pPr>
      <w:r w:rsidRPr="00B719A2">
        <w:rPr>
          <w:b/>
          <w:bCs/>
          <w:lang w:val="en-GB"/>
        </w:rPr>
        <w:t>Asynchronous Completion:</w:t>
      </w:r>
      <w:r w:rsidRPr="00B719A2">
        <w:rPr>
          <w:lang w:val="en-GB"/>
        </w:rPr>
        <w:t xml:space="preserve"> For functions deployed after March 20, 2025, the context.waitUntil() method allows for asynchronous work to continue after the response has been sent. However, the total duration for billing and metrics includes the time spent on these asynchronous tasks.</w:t>
      </w:r>
    </w:p>
    <w:p w14:paraId="03ECDB54" w14:textId="77777777" w:rsidR="00B719A2" w:rsidRPr="00B719A2" w:rsidRDefault="00B719A2" w:rsidP="00B719A2">
      <w:pPr>
        <w:numPr>
          <w:ilvl w:val="0"/>
          <w:numId w:val="1"/>
        </w:numPr>
        <w:rPr>
          <w:lang w:val="en-GB"/>
        </w:rPr>
      </w:pPr>
      <w:r w:rsidRPr="00B719A2">
        <w:rPr>
          <w:b/>
          <w:bCs/>
          <w:lang w:val="en-GB"/>
        </w:rPr>
        <w:t>Optimization Strategies:</w:t>
      </w:r>
      <w:r w:rsidRPr="00B719A2">
        <w:rPr>
          <w:lang w:val="en-GB"/>
        </w:rPr>
        <w:t xml:space="preserve"> Reducing the number of external dependencies and minimizing the amount of code executed during the initialization phase are now direct ways to reduce compute costs under the updated billing model.</w:t>
      </w:r>
    </w:p>
    <w:p w14:paraId="30A6D1B9" w14:textId="77777777" w:rsidR="00B719A2" w:rsidRPr="00B719A2" w:rsidRDefault="00B719A2" w:rsidP="00B719A2">
      <w:pPr>
        <w:rPr>
          <w:b/>
          <w:bCs/>
          <w:lang w:val="en-GB"/>
        </w:rPr>
      </w:pPr>
      <w:r w:rsidRPr="00B719A2">
        <w:rPr>
          <w:b/>
          <w:bCs/>
          <w:lang w:val="en-GB"/>
        </w:rPr>
        <w:t>Data and Storage Primitives: Blobs, Cache API, and Image CDN</w:t>
      </w:r>
    </w:p>
    <w:p w14:paraId="0AC8867E" w14:textId="77777777" w:rsidR="00B719A2" w:rsidRPr="00B719A2" w:rsidRDefault="00B719A2" w:rsidP="00B719A2">
      <w:pPr>
        <w:rPr>
          <w:lang w:val="en-GB"/>
        </w:rPr>
      </w:pPr>
      <w:r w:rsidRPr="00B719A2">
        <w:rPr>
          <w:lang w:val="en-GB"/>
        </w:rPr>
        <w:t>To support complex state and data requirements, Netlify has introduced several platform primitives that allow developers to move beyond the stateless nature of traditional serverless architecture.</w:t>
      </w:r>
    </w:p>
    <w:p w14:paraId="49DC52E9" w14:textId="77777777" w:rsidR="00B719A2" w:rsidRPr="00B719A2" w:rsidRDefault="00B719A2" w:rsidP="00B719A2">
      <w:pPr>
        <w:rPr>
          <w:b/>
          <w:bCs/>
          <w:lang w:val="en-GB"/>
        </w:rPr>
      </w:pPr>
      <w:r w:rsidRPr="00B719A2">
        <w:rPr>
          <w:b/>
          <w:bCs/>
          <w:lang w:val="en-GB"/>
        </w:rPr>
        <w:t>Netlify Blobs</w:t>
      </w:r>
    </w:p>
    <w:p w14:paraId="246584E5" w14:textId="77777777" w:rsidR="00B719A2" w:rsidRPr="00B719A2" w:rsidRDefault="00B719A2" w:rsidP="00B719A2">
      <w:pPr>
        <w:rPr>
          <w:lang w:val="en-GB"/>
        </w:rPr>
      </w:pPr>
      <w:r w:rsidRPr="00B719A2">
        <w:rPr>
          <w:lang w:val="en-GB"/>
        </w:rPr>
        <w:lastRenderedPageBreak/>
        <w:t>Netlify Blobs is an integrated, high-availability data store optimized for frequent reads and infrequent writes. It functions as a simple key-value store or a lightweight database, automatically handling provisioning and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5910"/>
      </w:tblGrid>
      <w:tr w:rsidR="00B719A2" w:rsidRPr="00B719A2" w14:paraId="7D85CA11" w14:textId="77777777">
        <w:trPr>
          <w:tblCellSpacing w:w="15" w:type="dxa"/>
        </w:trPr>
        <w:tc>
          <w:tcPr>
            <w:tcW w:w="0" w:type="auto"/>
            <w:vAlign w:val="center"/>
            <w:hideMark/>
          </w:tcPr>
          <w:p w14:paraId="65A80D45" w14:textId="77777777" w:rsidR="00B719A2" w:rsidRPr="00B719A2" w:rsidRDefault="00B719A2" w:rsidP="00B719A2">
            <w:pPr>
              <w:rPr>
                <w:b/>
                <w:bCs/>
              </w:rPr>
            </w:pPr>
            <w:r w:rsidRPr="00B719A2">
              <w:rPr>
                <w:b/>
                <w:bCs/>
              </w:rPr>
              <w:t>Feature</w:t>
            </w:r>
          </w:p>
        </w:tc>
        <w:tc>
          <w:tcPr>
            <w:tcW w:w="0" w:type="auto"/>
            <w:vAlign w:val="center"/>
            <w:hideMark/>
          </w:tcPr>
          <w:p w14:paraId="7B12063A" w14:textId="77777777" w:rsidR="00B719A2" w:rsidRPr="00B719A2" w:rsidRDefault="00B719A2" w:rsidP="00B719A2">
            <w:pPr>
              <w:rPr>
                <w:b/>
                <w:bCs/>
              </w:rPr>
            </w:pPr>
            <w:r w:rsidRPr="00B719A2">
              <w:rPr>
                <w:b/>
                <w:bCs/>
              </w:rPr>
              <w:t xml:space="preserve">Technical </w:t>
            </w:r>
            <w:proofErr w:type="spellStart"/>
            <w:r w:rsidRPr="00B719A2">
              <w:rPr>
                <w:b/>
                <w:bCs/>
              </w:rPr>
              <w:t>Specification</w:t>
            </w:r>
            <w:proofErr w:type="spellEnd"/>
          </w:p>
        </w:tc>
      </w:tr>
      <w:tr w:rsidR="00B719A2" w:rsidRPr="00B719A2" w14:paraId="09917E75" w14:textId="77777777">
        <w:trPr>
          <w:tblCellSpacing w:w="15" w:type="dxa"/>
        </w:trPr>
        <w:tc>
          <w:tcPr>
            <w:tcW w:w="0" w:type="auto"/>
            <w:vAlign w:val="center"/>
            <w:hideMark/>
          </w:tcPr>
          <w:p w14:paraId="10A5D6B4" w14:textId="77777777" w:rsidR="00B719A2" w:rsidRPr="00B719A2" w:rsidRDefault="00B719A2" w:rsidP="00B719A2">
            <w:r w:rsidRPr="00B719A2">
              <w:t xml:space="preserve">Maximum Object </w:t>
            </w:r>
            <w:proofErr w:type="spellStart"/>
            <w:r w:rsidRPr="00B719A2">
              <w:t>Size</w:t>
            </w:r>
            <w:proofErr w:type="spellEnd"/>
          </w:p>
        </w:tc>
        <w:tc>
          <w:tcPr>
            <w:tcW w:w="0" w:type="auto"/>
            <w:vAlign w:val="center"/>
            <w:hideMark/>
          </w:tcPr>
          <w:p w14:paraId="452A79DA" w14:textId="77777777" w:rsidR="00B719A2" w:rsidRPr="00B719A2" w:rsidRDefault="00B719A2" w:rsidP="00B719A2">
            <w:r w:rsidRPr="00B719A2">
              <w:t>5 GB</w:t>
            </w:r>
          </w:p>
        </w:tc>
      </w:tr>
      <w:tr w:rsidR="00B719A2" w:rsidRPr="00B719A2" w14:paraId="715D21BD" w14:textId="77777777">
        <w:trPr>
          <w:tblCellSpacing w:w="15" w:type="dxa"/>
        </w:trPr>
        <w:tc>
          <w:tcPr>
            <w:tcW w:w="0" w:type="auto"/>
            <w:vAlign w:val="center"/>
            <w:hideMark/>
          </w:tcPr>
          <w:p w14:paraId="2DAD1550" w14:textId="77777777" w:rsidR="00B719A2" w:rsidRPr="00B719A2" w:rsidRDefault="00B719A2" w:rsidP="00B719A2">
            <w:r w:rsidRPr="00B719A2">
              <w:t xml:space="preserve">Key </w:t>
            </w:r>
            <w:proofErr w:type="spellStart"/>
            <w:r w:rsidRPr="00B719A2">
              <w:t>Character</w:t>
            </w:r>
            <w:proofErr w:type="spellEnd"/>
            <w:r w:rsidRPr="00B719A2">
              <w:t xml:space="preserve"> </w:t>
            </w:r>
            <w:proofErr w:type="spellStart"/>
            <w:r w:rsidRPr="00B719A2">
              <w:t>Limit</w:t>
            </w:r>
            <w:proofErr w:type="spellEnd"/>
          </w:p>
        </w:tc>
        <w:tc>
          <w:tcPr>
            <w:tcW w:w="0" w:type="auto"/>
            <w:vAlign w:val="center"/>
            <w:hideMark/>
          </w:tcPr>
          <w:p w14:paraId="64176A7D" w14:textId="77777777" w:rsidR="00B719A2" w:rsidRPr="00B719A2" w:rsidRDefault="00B719A2" w:rsidP="00B719A2">
            <w:pPr>
              <w:rPr>
                <w:lang w:val="en-GB"/>
              </w:rPr>
            </w:pPr>
            <w:r w:rsidRPr="00B719A2">
              <w:rPr>
                <w:lang w:val="en-GB"/>
              </w:rPr>
              <w:t>600 characters (includes multi-byte chars)</w:t>
            </w:r>
          </w:p>
        </w:tc>
      </w:tr>
      <w:tr w:rsidR="00B719A2" w:rsidRPr="00B719A2" w14:paraId="3EAA4BFB" w14:textId="77777777">
        <w:trPr>
          <w:tblCellSpacing w:w="15" w:type="dxa"/>
        </w:trPr>
        <w:tc>
          <w:tcPr>
            <w:tcW w:w="0" w:type="auto"/>
            <w:vAlign w:val="center"/>
            <w:hideMark/>
          </w:tcPr>
          <w:p w14:paraId="1CE431D2" w14:textId="77777777" w:rsidR="00B719A2" w:rsidRPr="00B719A2" w:rsidRDefault="00B719A2" w:rsidP="00B719A2">
            <w:r w:rsidRPr="00B719A2">
              <w:t xml:space="preserve">Store Name </w:t>
            </w:r>
            <w:proofErr w:type="spellStart"/>
            <w:r w:rsidRPr="00B719A2">
              <w:t>Limit</w:t>
            </w:r>
            <w:proofErr w:type="spellEnd"/>
          </w:p>
        </w:tc>
        <w:tc>
          <w:tcPr>
            <w:tcW w:w="0" w:type="auto"/>
            <w:vAlign w:val="center"/>
            <w:hideMark/>
          </w:tcPr>
          <w:p w14:paraId="7957F6F7" w14:textId="77777777" w:rsidR="00B719A2" w:rsidRPr="00B719A2" w:rsidRDefault="00B719A2" w:rsidP="00B719A2">
            <w:r w:rsidRPr="00B719A2">
              <w:t xml:space="preserve">3 to 64 </w:t>
            </w:r>
            <w:proofErr w:type="spellStart"/>
            <w:r w:rsidRPr="00B719A2">
              <w:t>alphanumeric</w:t>
            </w:r>
            <w:proofErr w:type="spellEnd"/>
            <w:r w:rsidRPr="00B719A2">
              <w:t xml:space="preserve"> </w:t>
            </w:r>
            <w:proofErr w:type="spellStart"/>
            <w:r w:rsidRPr="00B719A2">
              <w:t>characters</w:t>
            </w:r>
            <w:proofErr w:type="spellEnd"/>
          </w:p>
        </w:tc>
      </w:tr>
      <w:tr w:rsidR="00B719A2" w:rsidRPr="00B719A2" w14:paraId="2E35E5A4" w14:textId="77777777">
        <w:trPr>
          <w:tblCellSpacing w:w="15" w:type="dxa"/>
        </w:trPr>
        <w:tc>
          <w:tcPr>
            <w:tcW w:w="0" w:type="auto"/>
            <w:vAlign w:val="center"/>
            <w:hideMark/>
          </w:tcPr>
          <w:p w14:paraId="2631A58A" w14:textId="77777777" w:rsidR="00B719A2" w:rsidRPr="00B719A2" w:rsidRDefault="00B719A2" w:rsidP="00B719A2">
            <w:proofErr w:type="spellStart"/>
            <w:r w:rsidRPr="00B719A2">
              <w:t>Consistency</w:t>
            </w:r>
            <w:proofErr w:type="spellEnd"/>
            <w:r w:rsidRPr="00B719A2">
              <w:t xml:space="preserve"> </w:t>
            </w:r>
            <w:proofErr w:type="spellStart"/>
            <w:r w:rsidRPr="00B719A2">
              <w:t>Model</w:t>
            </w:r>
            <w:proofErr w:type="spellEnd"/>
          </w:p>
        </w:tc>
        <w:tc>
          <w:tcPr>
            <w:tcW w:w="0" w:type="auto"/>
            <w:vAlign w:val="center"/>
            <w:hideMark/>
          </w:tcPr>
          <w:p w14:paraId="59A8724D" w14:textId="77777777" w:rsidR="00B719A2" w:rsidRPr="00B719A2" w:rsidRDefault="00B719A2" w:rsidP="00B719A2">
            <w:pPr>
              <w:rPr>
                <w:lang w:val="en-GB"/>
              </w:rPr>
            </w:pPr>
            <w:r w:rsidRPr="00B719A2">
              <w:rPr>
                <w:lang w:val="en-GB"/>
              </w:rPr>
              <w:t>Configurable: eventual (fast) or strong (accurate)</w:t>
            </w:r>
          </w:p>
        </w:tc>
      </w:tr>
      <w:tr w:rsidR="00B719A2" w:rsidRPr="00B719A2" w14:paraId="41406125" w14:textId="77777777">
        <w:trPr>
          <w:tblCellSpacing w:w="15" w:type="dxa"/>
        </w:trPr>
        <w:tc>
          <w:tcPr>
            <w:tcW w:w="0" w:type="auto"/>
            <w:vAlign w:val="center"/>
            <w:hideMark/>
          </w:tcPr>
          <w:p w14:paraId="64B78D1B" w14:textId="77777777" w:rsidR="00B719A2" w:rsidRPr="00B719A2" w:rsidRDefault="00B719A2" w:rsidP="00B719A2">
            <w:proofErr w:type="spellStart"/>
            <w:r w:rsidRPr="00B719A2">
              <w:t>Atomic</w:t>
            </w:r>
            <w:proofErr w:type="spellEnd"/>
            <w:r w:rsidRPr="00B719A2">
              <w:t xml:space="preserve"> </w:t>
            </w:r>
            <w:proofErr w:type="spellStart"/>
            <w:r w:rsidRPr="00B719A2">
              <w:t>Writes</w:t>
            </w:r>
            <w:proofErr w:type="spellEnd"/>
          </w:p>
        </w:tc>
        <w:tc>
          <w:tcPr>
            <w:tcW w:w="0" w:type="auto"/>
            <w:vAlign w:val="center"/>
            <w:hideMark/>
          </w:tcPr>
          <w:p w14:paraId="70AD3E6A" w14:textId="77777777" w:rsidR="00B719A2" w:rsidRPr="00B719A2" w:rsidRDefault="00B719A2" w:rsidP="00B719A2">
            <w:pPr>
              <w:rPr>
                <w:lang w:val="en-GB"/>
              </w:rPr>
            </w:pPr>
            <w:r w:rsidRPr="00B719A2">
              <w:rPr>
                <w:lang w:val="en-GB"/>
              </w:rPr>
              <w:t>Supported via onlyIfMatch (ETag) and onlyIfNew</w:t>
            </w:r>
          </w:p>
        </w:tc>
      </w:tr>
      <w:tr w:rsidR="00B719A2" w:rsidRPr="00B719A2" w14:paraId="53B0A675" w14:textId="77777777">
        <w:trPr>
          <w:tblCellSpacing w:w="15" w:type="dxa"/>
        </w:trPr>
        <w:tc>
          <w:tcPr>
            <w:tcW w:w="0" w:type="auto"/>
            <w:vAlign w:val="center"/>
            <w:hideMark/>
          </w:tcPr>
          <w:p w14:paraId="5DDB8D00" w14:textId="77777777" w:rsidR="00B719A2" w:rsidRPr="00B719A2" w:rsidRDefault="00B719A2" w:rsidP="00B719A2">
            <w:proofErr w:type="spellStart"/>
            <w:r w:rsidRPr="00B719A2">
              <w:t>Regions</w:t>
            </w:r>
            <w:proofErr w:type="spellEnd"/>
            <w:r w:rsidRPr="00B719A2">
              <w:t xml:space="preserve"> (</w:t>
            </w:r>
            <w:proofErr w:type="spellStart"/>
            <w:r w:rsidRPr="00B719A2">
              <w:t>Deploy-specific</w:t>
            </w:r>
            <w:proofErr w:type="spellEnd"/>
            <w:r w:rsidRPr="00B719A2">
              <w:t>)</w:t>
            </w:r>
          </w:p>
        </w:tc>
        <w:tc>
          <w:tcPr>
            <w:tcW w:w="0" w:type="auto"/>
            <w:vAlign w:val="center"/>
            <w:hideMark/>
          </w:tcPr>
          <w:p w14:paraId="4ABD1A8E" w14:textId="77777777" w:rsidR="00B719A2" w:rsidRPr="00B719A2" w:rsidRDefault="00B719A2" w:rsidP="00B719A2">
            <w:pPr>
              <w:rPr>
                <w:lang w:val="en-GB"/>
              </w:rPr>
            </w:pPr>
            <w:r w:rsidRPr="00B719A2">
              <w:rPr>
                <w:lang w:val="en-GB"/>
              </w:rPr>
              <w:t>us-east-1, us-east-2, us-west-2, eu-central-1, ap-southeast-2</w:t>
            </w:r>
          </w:p>
        </w:tc>
      </w:tr>
    </w:tbl>
    <w:p w14:paraId="3AEEAD6C" w14:textId="77777777" w:rsidR="00B719A2" w:rsidRPr="00B719A2" w:rsidRDefault="00B719A2" w:rsidP="00B719A2">
      <w:pPr>
        <w:rPr>
          <w:lang w:val="en-GB"/>
        </w:rPr>
      </w:pPr>
      <w:r w:rsidRPr="00B719A2">
        <w:rPr>
          <w:lang w:val="en-GB"/>
        </w:rPr>
        <w:t>Blobs are accessible from Functions, Edge Functions, and Build Plugins, making them a versatile tool for persisting user-generated content or build-time assets that need to be modified at runtime. While site-wide stores are global, deploy-specific stores are restricted to specific regions, emphasizing the importance of aligning function regions with blob storage locations for optimal performance.</w:t>
      </w:r>
    </w:p>
    <w:p w14:paraId="717FD6AE" w14:textId="77777777" w:rsidR="00B719A2" w:rsidRPr="00B719A2" w:rsidRDefault="00B719A2" w:rsidP="00B719A2">
      <w:pPr>
        <w:rPr>
          <w:b/>
          <w:bCs/>
          <w:lang w:val="en-GB"/>
        </w:rPr>
      </w:pPr>
      <w:r w:rsidRPr="00B719A2">
        <w:rPr>
          <w:b/>
          <w:bCs/>
          <w:lang w:val="en-GB"/>
        </w:rPr>
        <w:t>The Cache API</w:t>
      </w:r>
    </w:p>
    <w:p w14:paraId="505BD83B" w14:textId="77777777" w:rsidR="00B719A2" w:rsidRPr="00B719A2" w:rsidRDefault="00B719A2" w:rsidP="00B719A2">
      <w:pPr>
        <w:rPr>
          <w:lang w:val="en-GB"/>
        </w:rPr>
      </w:pPr>
      <w:r w:rsidRPr="00B719A2">
        <w:rPr>
          <w:lang w:val="en-GB"/>
        </w:rPr>
        <w:t>The Cache API provides a programmatic interface for reading and writing HTTP responses using standard JavaScript CacheStorage and Cache APIs. This is particularly useful for caching responses from expensive external API calls.</w:t>
      </w:r>
    </w:p>
    <w:p w14:paraId="6E83358F" w14:textId="77777777" w:rsidR="00B719A2" w:rsidRPr="00B719A2" w:rsidRDefault="00B719A2" w:rsidP="00B719A2">
      <w:pPr>
        <w:numPr>
          <w:ilvl w:val="0"/>
          <w:numId w:val="2"/>
        </w:numPr>
        <w:rPr>
          <w:lang w:val="en-GB"/>
        </w:rPr>
      </w:pPr>
      <w:r w:rsidRPr="00B719A2">
        <w:rPr>
          <w:b/>
          <w:bCs/>
          <w:lang w:val="en-GB"/>
        </w:rPr>
        <w:t>Lifecycle:</w:t>
      </w:r>
      <w:r w:rsidRPr="00B719A2">
        <w:rPr>
          <w:lang w:val="en-GB"/>
        </w:rPr>
        <w:t xml:space="preserve"> Unlike Blobs, which persist across deploys in site-wide stores, Cache API entries are automatically invalidated upon a new site deployment.</w:t>
      </w:r>
    </w:p>
    <w:p w14:paraId="3AAA9EE5" w14:textId="77777777" w:rsidR="00B719A2" w:rsidRPr="00B719A2" w:rsidRDefault="00B719A2" w:rsidP="00B719A2">
      <w:pPr>
        <w:numPr>
          <w:ilvl w:val="0"/>
          <w:numId w:val="2"/>
        </w:numPr>
        <w:rPr>
          <w:lang w:val="en-GB"/>
        </w:rPr>
      </w:pPr>
      <w:r w:rsidRPr="00B719A2">
        <w:rPr>
          <w:b/>
          <w:bCs/>
          <w:lang w:val="en-GB"/>
        </w:rPr>
        <w:t>Invocation Limits:</w:t>
      </w:r>
      <w:r w:rsidRPr="00B719A2">
        <w:rPr>
          <w:lang w:val="en-GB"/>
        </w:rPr>
        <w:t xml:space="preserve"> To ensure platform stability, Netlify enforces a limit of 100 cache lookups and 20 insertions or deletions per function invocation.</w:t>
      </w:r>
    </w:p>
    <w:p w14:paraId="3E9E790E" w14:textId="77777777" w:rsidR="00B719A2" w:rsidRPr="00B719A2" w:rsidRDefault="00B719A2" w:rsidP="00B719A2">
      <w:pPr>
        <w:numPr>
          <w:ilvl w:val="0"/>
          <w:numId w:val="2"/>
        </w:numPr>
        <w:rPr>
          <w:lang w:val="en-GB"/>
        </w:rPr>
      </w:pPr>
      <w:r w:rsidRPr="00B719A2">
        <w:rPr>
          <w:b/>
          <w:bCs/>
          <w:lang w:val="en-GB"/>
        </w:rPr>
        <w:t>Regionality:</w:t>
      </w:r>
      <w:r w:rsidRPr="00B719A2">
        <w:rPr>
          <w:lang w:val="en-GB"/>
        </w:rPr>
        <w:t xml:space="preserve"> Data stored via the Cache API is shared among functions within the same region but is not replicated across different regions.</w:t>
      </w:r>
    </w:p>
    <w:p w14:paraId="6096DAF6" w14:textId="77777777" w:rsidR="00B719A2" w:rsidRPr="00B719A2" w:rsidRDefault="00B719A2" w:rsidP="00B719A2">
      <w:pPr>
        <w:rPr>
          <w:b/>
          <w:bCs/>
          <w:lang w:val="en-GB"/>
        </w:rPr>
      </w:pPr>
      <w:r w:rsidRPr="00B719A2">
        <w:rPr>
          <w:b/>
          <w:bCs/>
          <w:lang w:val="en-GB"/>
        </w:rPr>
        <w:t>Netlify Image CDN</w:t>
      </w:r>
    </w:p>
    <w:p w14:paraId="165AF725" w14:textId="77777777" w:rsidR="00B719A2" w:rsidRPr="00B719A2" w:rsidRDefault="00B719A2" w:rsidP="00B719A2">
      <w:pPr>
        <w:rPr>
          <w:lang w:val="en-GB"/>
        </w:rPr>
      </w:pPr>
      <w:r w:rsidRPr="00B719A2">
        <w:rPr>
          <w:lang w:val="en-GB"/>
        </w:rPr>
        <w:t>The Image CDN allows for on-demand transformation of images hosted locally or on remote servers. It handles content negotiation automatically, delivering optimized formats like AVIF or WebP to browsers that support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722"/>
        <w:gridCol w:w="4740"/>
      </w:tblGrid>
      <w:tr w:rsidR="00B719A2" w:rsidRPr="00B719A2" w14:paraId="7E5D8099" w14:textId="77777777">
        <w:trPr>
          <w:tblCellSpacing w:w="15" w:type="dxa"/>
        </w:trPr>
        <w:tc>
          <w:tcPr>
            <w:tcW w:w="0" w:type="auto"/>
            <w:vAlign w:val="center"/>
            <w:hideMark/>
          </w:tcPr>
          <w:p w14:paraId="3AC80FDF" w14:textId="77777777" w:rsidR="00B719A2" w:rsidRPr="00B719A2" w:rsidRDefault="00B719A2" w:rsidP="00B719A2">
            <w:pPr>
              <w:rPr>
                <w:b/>
                <w:bCs/>
              </w:rPr>
            </w:pPr>
            <w:proofErr w:type="spellStart"/>
            <w:r w:rsidRPr="00B719A2">
              <w:rPr>
                <w:b/>
                <w:bCs/>
              </w:rPr>
              <w:t>Parameter</w:t>
            </w:r>
            <w:proofErr w:type="spellEnd"/>
          </w:p>
        </w:tc>
        <w:tc>
          <w:tcPr>
            <w:tcW w:w="0" w:type="auto"/>
            <w:vAlign w:val="center"/>
            <w:hideMark/>
          </w:tcPr>
          <w:p w14:paraId="2815B827" w14:textId="77777777" w:rsidR="00B719A2" w:rsidRPr="00B719A2" w:rsidRDefault="00B719A2" w:rsidP="00B719A2">
            <w:pPr>
              <w:rPr>
                <w:b/>
                <w:bCs/>
              </w:rPr>
            </w:pPr>
            <w:proofErr w:type="spellStart"/>
            <w:r w:rsidRPr="00B719A2">
              <w:rPr>
                <w:b/>
                <w:bCs/>
              </w:rPr>
              <w:t>Type</w:t>
            </w:r>
            <w:proofErr w:type="spellEnd"/>
          </w:p>
        </w:tc>
        <w:tc>
          <w:tcPr>
            <w:tcW w:w="0" w:type="auto"/>
            <w:vAlign w:val="center"/>
            <w:hideMark/>
          </w:tcPr>
          <w:p w14:paraId="64467759" w14:textId="77777777" w:rsidR="00B719A2" w:rsidRPr="00B719A2" w:rsidRDefault="00B719A2" w:rsidP="00B719A2">
            <w:pPr>
              <w:rPr>
                <w:b/>
                <w:bCs/>
              </w:rPr>
            </w:pPr>
            <w:proofErr w:type="spellStart"/>
            <w:r w:rsidRPr="00B719A2">
              <w:rPr>
                <w:b/>
                <w:bCs/>
              </w:rPr>
              <w:t>Function</w:t>
            </w:r>
            <w:proofErr w:type="spellEnd"/>
          </w:p>
        </w:tc>
      </w:tr>
      <w:tr w:rsidR="00B719A2" w:rsidRPr="00B719A2" w14:paraId="63E81D27" w14:textId="77777777">
        <w:trPr>
          <w:tblCellSpacing w:w="15" w:type="dxa"/>
        </w:trPr>
        <w:tc>
          <w:tcPr>
            <w:tcW w:w="0" w:type="auto"/>
            <w:vAlign w:val="center"/>
            <w:hideMark/>
          </w:tcPr>
          <w:p w14:paraId="641B63AB" w14:textId="77777777" w:rsidR="00B719A2" w:rsidRPr="00B719A2" w:rsidRDefault="00B719A2" w:rsidP="00B719A2">
            <w:proofErr w:type="spellStart"/>
            <w:r w:rsidRPr="00B719A2">
              <w:t>url</w:t>
            </w:r>
            <w:proofErr w:type="spellEnd"/>
          </w:p>
        </w:tc>
        <w:tc>
          <w:tcPr>
            <w:tcW w:w="0" w:type="auto"/>
            <w:vAlign w:val="center"/>
            <w:hideMark/>
          </w:tcPr>
          <w:p w14:paraId="09CB7B27" w14:textId="77777777" w:rsidR="00B719A2" w:rsidRPr="00B719A2" w:rsidRDefault="00B719A2" w:rsidP="00B719A2">
            <w:proofErr w:type="spellStart"/>
            <w:r w:rsidRPr="00B719A2">
              <w:t>String</w:t>
            </w:r>
            <w:proofErr w:type="spellEnd"/>
          </w:p>
        </w:tc>
        <w:tc>
          <w:tcPr>
            <w:tcW w:w="0" w:type="auto"/>
            <w:vAlign w:val="center"/>
            <w:hideMark/>
          </w:tcPr>
          <w:p w14:paraId="5E404D73" w14:textId="77777777" w:rsidR="00B719A2" w:rsidRPr="00B719A2" w:rsidRDefault="00B719A2" w:rsidP="00B719A2">
            <w:pPr>
              <w:rPr>
                <w:lang w:val="en-GB"/>
              </w:rPr>
            </w:pPr>
            <w:r w:rsidRPr="00B719A2">
              <w:rPr>
                <w:lang w:val="en-GB"/>
              </w:rPr>
              <w:t>Source URL (relative or remote)</w:t>
            </w:r>
          </w:p>
        </w:tc>
      </w:tr>
      <w:tr w:rsidR="00B719A2" w:rsidRPr="00B719A2" w14:paraId="074D0547" w14:textId="77777777">
        <w:trPr>
          <w:tblCellSpacing w:w="15" w:type="dxa"/>
        </w:trPr>
        <w:tc>
          <w:tcPr>
            <w:tcW w:w="0" w:type="auto"/>
            <w:vAlign w:val="center"/>
            <w:hideMark/>
          </w:tcPr>
          <w:p w14:paraId="5AB33BFB" w14:textId="77777777" w:rsidR="00B719A2" w:rsidRPr="00B719A2" w:rsidRDefault="00B719A2" w:rsidP="00B719A2">
            <w:r w:rsidRPr="00B719A2">
              <w:t>w, h</w:t>
            </w:r>
          </w:p>
        </w:tc>
        <w:tc>
          <w:tcPr>
            <w:tcW w:w="0" w:type="auto"/>
            <w:vAlign w:val="center"/>
            <w:hideMark/>
          </w:tcPr>
          <w:p w14:paraId="2910EBB8" w14:textId="77777777" w:rsidR="00B719A2" w:rsidRPr="00B719A2" w:rsidRDefault="00B719A2" w:rsidP="00B719A2">
            <w:proofErr w:type="spellStart"/>
            <w:r w:rsidRPr="00B719A2">
              <w:t>Integer</w:t>
            </w:r>
            <w:proofErr w:type="spellEnd"/>
          </w:p>
        </w:tc>
        <w:tc>
          <w:tcPr>
            <w:tcW w:w="0" w:type="auto"/>
            <w:vAlign w:val="center"/>
            <w:hideMark/>
          </w:tcPr>
          <w:p w14:paraId="092FBC07" w14:textId="77777777" w:rsidR="00B719A2" w:rsidRPr="00B719A2" w:rsidRDefault="00B719A2" w:rsidP="00B719A2">
            <w:pPr>
              <w:rPr>
                <w:lang w:val="en-GB"/>
              </w:rPr>
            </w:pPr>
            <w:r w:rsidRPr="00B719A2">
              <w:rPr>
                <w:lang w:val="en-GB"/>
              </w:rPr>
              <w:t>Targeted width and height in pixels</w:t>
            </w:r>
          </w:p>
        </w:tc>
      </w:tr>
      <w:tr w:rsidR="00B719A2" w:rsidRPr="00B719A2" w14:paraId="3CA56A92" w14:textId="77777777">
        <w:trPr>
          <w:tblCellSpacing w:w="15" w:type="dxa"/>
        </w:trPr>
        <w:tc>
          <w:tcPr>
            <w:tcW w:w="0" w:type="auto"/>
            <w:vAlign w:val="center"/>
            <w:hideMark/>
          </w:tcPr>
          <w:p w14:paraId="30D03921" w14:textId="77777777" w:rsidR="00B719A2" w:rsidRPr="00B719A2" w:rsidRDefault="00B719A2" w:rsidP="00B719A2">
            <w:proofErr w:type="spellStart"/>
            <w:r w:rsidRPr="00B719A2">
              <w:t>fit</w:t>
            </w:r>
            <w:proofErr w:type="spellEnd"/>
          </w:p>
        </w:tc>
        <w:tc>
          <w:tcPr>
            <w:tcW w:w="0" w:type="auto"/>
            <w:vAlign w:val="center"/>
            <w:hideMark/>
          </w:tcPr>
          <w:p w14:paraId="3F2C73A4" w14:textId="77777777" w:rsidR="00B719A2" w:rsidRPr="00B719A2" w:rsidRDefault="00B719A2" w:rsidP="00B719A2">
            <w:proofErr w:type="spellStart"/>
            <w:r w:rsidRPr="00B719A2">
              <w:t>Enum</w:t>
            </w:r>
            <w:proofErr w:type="spellEnd"/>
          </w:p>
        </w:tc>
        <w:tc>
          <w:tcPr>
            <w:tcW w:w="0" w:type="auto"/>
            <w:vAlign w:val="center"/>
            <w:hideMark/>
          </w:tcPr>
          <w:p w14:paraId="275D2D73" w14:textId="77777777" w:rsidR="00B719A2" w:rsidRPr="00B719A2" w:rsidRDefault="00B719A2" w:rsidP="00B719A2">
            <w:pPr>
              <w:rPr>
                <w:lang w:val="en-GB"/>
              </w:rPr>
            </w:pPr>
            <w:r w:rsidRPr="00B719A2">
              <w:rPr>
                <w:lang w:val="en-GB"/>
              </w:rPr>
              <w:t>Resizing strategy: contain, cover, fill</w:t>
            </w:r>
          </w:p>
        </w:tc>
      </w:tr>
      <w:tr w:rsidR="00B719A2" w:rsidRPr="00B719A2" w14:paraId="3FB7C1EA" w14:textId="77777777">
        <w:trPr>
          <w:tblCellSpacing w:w="15" w:type="dxa"/>
        </w:trPr>
        <w:tc>
          <w:tcPr>
            <w:tcW w:w="0" w:type="auto"/>
            <w:vAlign w:val="center"/>
            <w:hideMark/>
          </w:tcPr>
          <w:p w14:paraId="30F63C0E" w14:textId="77777777" w:rsidR="00B719A2" w:rsidRPr="00B719A2" w:rsidRDefault="00B719A2" w:rsidP="00B719A2">
            <w:proofErr w:type="spellStart"/>
            <w:r w:rsidRPr="00B719A2">
              <w:lastRenderedPageBreak/>
              <w:t>fm</w:t>
            </w:r>
            <w:proofErr w:type="spellEnd"/>
          </w:p>
        </w:tc>
        <w:tc>
          <w:tcPr>
            <w:tcW w:w="0" w:type="auto"/>
            <w:vAlign w:val="center"/>
            <w:hideMark/>
          </w:tcPr>
          <w:p w14:paraId="716AB6D4" w14:textId="77777777" w:rsidR="00B719A2" w:rsidRPr="00B719A2" w:rsidRDefault="00B719A2" w:rsidP="00B719A2">
            <w:proofErr w:type="spellStart"/>
            <w:r w:rsidRPr="00B719A2">
              <w:t>Enum</w:t>
            </w:r>
            <w:proofErr w:type="spellEnd"/>
          </w:p>
        </w:tc>
        <w:tc>
          <w:tcPr>
            <w:tcW w:w="0" w:type="auto"/>
            <w:vAlign w:val="center"/>
            <w:hideMark/>
          </w:tcPr>
          <w:p w14:paraId="25F4E9BD" w14:textId="77777777" w:rsidR="00B719A2" w:rsidRPr="00B719A2" w:rsidRDefault="00B719A2" w:rsidP="00B719A2">
            <w:pPr>
              <w:rPr>
                <w:lang w:val="en-GB"/>
              </w:rPr>
            </w:pPr>
            <w:r w:rsidRPr="00B719A2">
              <w:rPr>
                <w:lang w:val="en-GB"/>
              </w:rPr>
              <w:t>Output format: avif, webp, jpg, png, gif, blurhash</w:t>
            </w:r>
          </w:p>
        </w:tc>
      </w:tr>
      <w:tr w:rsidR="00B719A2" w:rsidRPr="00B719A2" w14:paraId="2801DB73" w14:textId="77777777">
        <w:trPr>
          <w:tblCellSpacing w:w="15" w:type="dxa"/>
        </w:trPr>
        <w:tc>
          <w:tcPr>
            <w:tcW w:w="0" w:type="auto"/>
            <w:vAlign w:val="center"/>
            <w:hideMark/>
          </w:tcPr>
          <w:p w14:paraId="07970813" w14:textId="77777777" w:rsidR="00B719A2" w:rsidRPr="00B719A2" w:rsidRDefault="00B719A2" w:rsidP="00B719A2">
            <w:r w:rsidRPr="00B719A2">
              <w:t>q</w:t>
            </w:r>
          </w:p>
        </w:tc>
        <w:tc>
          <w:tcPr>
            <w:tcW w:w="0" w:type="auto"/>
            <w:vAlign w:val="center"/>
            <w:hideMark/>
          </w:tcPr>
          <w:p w14:paraId="481D811E" w14:textId="77777777" w:rsidR="00B719A2" w:rsidRPr="00B719A2" w:rsidRDefault="00B719A2" w:rsidP="00B719A2">
            <w:proofErr w:type="spellStart"/>
            <w:r w:rsidRPr="00B719A2">
              <w:t>Integer</w:t>
            </w:r>
            <w:proofErr w:type="spellEnd"/>
          </w:p>
        </w:tc>
        <w:tc>
          <w:tcPr>
            <w:tcW w:w="0" w:type="auto"/>
            <w:vAlign w:val="center"/>
            <w:hideMark/>
          </w:tcPr>
          <w:p w14:paraId="2EEF28ED" w14:textId="77777777" w:rsidR="00B719A2" w:rsidRPr="00B719A2" w:rsidRDefault="00B719A2" w:rsidP="00B719A2">
            <w:pPr>
              <w:rPr>
                <w:lang w:val="en-GB"/>
              </w:rPr>
            </w:pPr>
            <w:r w:rsidRPr="00B719A2">
              <w:rPr>
                <w:lang w:val="en-GB"/>
              </w:rPr>
              <w:t>Lossy conversion quality (1 to 100; Default 75)</w:t>
            </w:r>
          </w:p>
        </w:tc>
      </w:tr>
      <w:tr w:rsidR="00B719A2" w:rsidRPr="00B719A2" w14:paraId="236ECFFA" w14:textId="77777777">
        <w:trPr>
          <w:tblCellSpacing w:w="15" w:type="dxa"/>
        </w:trPr>
        <w:tc>
          <w:tcPr>
            <w:tcW w:w="0" w:type="auto"/>
            <w:vAlign w:val="center"/>
            <w:hideMark/>
          </w:tcPr>
          <w:p w14:paraId="6A4C8BF6" w14:textId="77777777" w:rsidR="00B719A2" w:rsidRPr="00B719A2" w:rsidRDefault="00B719A2" w:rsidP="00B719A2">
            <w:r w:rsidRPr="00B719A2">
              <w:t>position</w:t>
            </w:r>
          </w:p>
        </w:tc>
        <w:tc>
          <w:tcPr>
            <w:tcW w:w="0" w:type="auto"/>
            <w:vAlign w:val="center"/>
            <w:hideMark/>
          </w:tcPr>
          <w:p w14:paraId="15A25D9F" w14:textId="77777777" w:rsidR="00B719A2" w:rsidRPr="00B719A2" w:rsidRDefault="00B719A2" w:rsidP="00B719A2">
            <w:proofErr w:type="spellStart"/>
            <w:r w:rsidRPr="00B719A2">
              <w:t>Enum</w:t>
            </w:r>
            <w:proofErr w:type="spellEnd"/>
          </w:p>
        </w:tc>
        <w:tc>
          <w:tcPr>
            <w:tcW w:w="0" w:type="auto"/>
            <w:vAlign w:val="center"/>
            <w:hideMark/>
          </w:tcPr>
          <w:p w14:paraId="10EE5CE7" w14:textId="77777777" w:rsidR="00B719A2" w:rsidRPr="00B719A2" w:rsidRDefault="00B719A2" w:rsidP="00B719A2">
            <w:pPr>
              <w:rPr>
                <w:lang w:val="en-GB"/>
              </w:rPr>
            </w:pPr>
            <w:r w:rsidRPr="00B719A2">
              <w:rPr>
                <w:lang w:val="en-GB"/>
              </w:rPr>
              <w:t>Focus for fit=cover: top, bottom, left, right, center</w:t>
            </w:r>
          </w:p>
        </w:tc>
      </w:tr>
    </w:tbl>
    <w:p w14:paraId="6D2D7D4A" w14:textId="77777777" w:rsidR="00B719A2" w:rsidRPr="00B719A2" w:rsidRDefault="00B719A2" w:rsidP="00B719A2">
      <w:pPr>
        <w:rPr>
          <w:lang w:val="en-GB"/>
        </w:rPr>
      </w:pPr>
      <w:r w:rsidRPr="00B719A2">
        <w:rPr>
          <w:lang w:val="en-GB"/>
        </w:rPr>
        <w:t>For security, remote images must be explicitly allowed in the netlify.toml or via the Frameworks API config.json using regular expressions. The CDN also respects atomic deploys; if a source image changes in a new deployment, the transformed assets are re-generated to ensure consistency.</w:t>
      </w:r>
    </w:p>
    <w:p w14:paraId="052C6710" w14:textId="77777777" w:rsidR="00B719A2" w:rsidRPr="00B719A2" w:rsidRDefault="00B719A2" w:rsidP="00B719A2">
      <w:pPr>
        <w:rPr>
          <w:b/>
          <w:bCs/>
          <w:lang w:val="en-GB"/>
        </w:rPr>
      </w:pPr>
      <w:r w:rsidRPr="00B719A2">
        <w:rPr>
          <w:b/>
          <w:bCs/>
          <w:lang w:val="en-GB"/>
        </w:rPr>
        <w:t>Financial Architecture and Credit-Based Billing</w:t>
      </w:r>
    </w:p>
    <w:p w14:paraId="137A88F0" w14:textId="77777777" w:rsidR="00B719A2" w:rsidRPr="00B719A2" w:rsidRDefault="00B719A2" w:rsidP="00B719A2">
      <w:pPr>
        <w:rPr>
          <w:lang w:val="en-GB"/>
        </w:rPr>
      </w:pPr>
      <w:r w:rsidRPr="00B719A2">
        <w:rPr>
          <w:lang w:val="en-GB"/>
        </w:rPr>
        <w:t>Beginning September 4, 2025, Netlify transitioned to a credit-based pricing model. This model replaces disparate metrics like build minutes and function invocations with a unified credit currency, intended to simplify billing for AI-integrated and compute-heavy workflows.</w:t>
      </w:r>
    </w:p>
    <w:p w14:paraId="5EE41489" w14:textId="77777777" w:rsidR="00B719A2" w:rsidRPr="00B719A2" w:rsidRDefault="00B719A2" w:rsidP="00B719A2">
      <w:pPr>
        <w:rPr>
          <w:b/>
          <w:bCs/>
          <w:lang w:val="en-GB"/>
        </w:rPr>
      </w:pPr>
      <w:r w:rsidRPr="00B719A2">
        <w:rPr>
          <w:b/>
          <w:bCs/>
          <w:lang w:val="en-GB"/>
        </w:rPr>
        <w:t>The Credit Allotment System</w:t>
      </w:r>
    </w:p>
    <w:p w14:paraId="6EF4B232" w14:textId="77777777" w:rsidR="00B719A2" w:rsidRPr="00B719A2" w:rsidRDefault="00B719A2" w:rsidP="00B719A2">
      <w:pPr>
        <w:rPr>
          <w:lang w:val="en-GB"/>
        </w:rPr>
      </w:pPr>
      <w:r w:rsidRPr="00B719A2">
        <w:rPr>
          <w:lang w:val="en-GB"/>
        </w:rPr>
        <w:t>Each plan tier includes a monthly allotment of credits that are consumed by various platform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657"/>
        <w:gridCol w:w="4383"/>
      </w:tblGrid>
      <w:tr w:rsidR="00B719A2" w:rsidRPr="00B719A2" w14:paraId="7C4B70D4" w14:textId="77777777">
        <w:trPr>
          <w:tblCellSpacing w:w="15" w:type="dxa"/>
        </w:trPr>
        <w:tc>
          <w:tcPr>
            <w:tcW w:w="0" w:type="auto"/>
            <w:vAlign w:val="center"/>
            <w:hideMark/>
          </w:tcPr>
          <w:p w14:paraId="3C650D9E" w14:textId="77777777" w:rsidR="00B719A2" w:rsidRPr="00B719A2" w:rsidRDefault="00B719A2" w:rsidP="00B719A2">
            <w:pPr>
              <w:rPr>
                <w:b/>
                <w:bCs/>
              </w:rPr>
            </w:pPr>
            <w:r w:rsidRPr="00B719A2">
              <w:rPr>
                <w:b/>
                <w:bCs/>
              </w:rPr>
              <w:t xml:space="preserve">Plan </w:t>
            </w:r>
            <w:proofErr w:type="spellStart"/>
            <w:r w:rsidRPr="00B719A2">
              <w:rPr>
                <w:b/>
                <w:bCs/>
              </w:rPr>
              <w:t>Tier</w:t>
            </w:r>
            <w:proofErr w:type="spellEnd"/>
          </w:p>
        </w:tc>
        <w:tc>
          <w:tcPr>
            <w:tcW w:w="0" w:type="auto"/>
            <w:vAlign w:val="center"/>
            <w:hideMark/>
          </w:tcPr>
          <w:p w14:paraId="0BC83E25" w14:textId="77777777" w:rsidR="00B719A2" w:rsidRPr="00B719A2" w:rsidRDefault="00B719A2" w:rsidP="00B719A2">
            <w:pPr>
              <w:rPr>
                <w:b/>
                <w:bCs/>
              </w:rPr>
            </w:pPr>
            <w:proofErr w:type="spellStart"/>
            <w:r w:rsidRPr="00B719A2">
              <w:rPr>
                <w:b/>
                <w:bCs/>
              </w:rPr>
              <w:t>Monthly</w:t>
            </w:r>
            <w:proofErr w:type="spellEnd"/>
            <w:r w:rsidRPr="00B719A2">
              <w:rPr>
                <w:b/>
                <w:bCs/>
              </w:rPr>
              <w:t xml:space="preserve"> </w:t>
            </w:r>
            <w:proofErr w:type="spellStart"/>
            <w:r w:rsidRPr="00B719A2">
              <w:rPr>
                <w:b/>
                <w:bCs/>
              </w:rPr>
              <w:t>Credits</w:t>
            </w:r>
            <w:proofErr w:type="spellEnd"/>
          </w:p>
        </w:tc>
        <w:tc>
          <w:tcPr>
            <w:tcW w:w="0" w:type="auto"/>
            <w:vAlign w:val="center"/>
            <w:hideMark/>
          </w:tcPr>
          <w:p w14:paraId="1C04B975" w14:textId="77777777" w:rsidR="00B719A2" w:rsidRPr="00B719A2" w:rsidRDefault="00B719A2" w:rsidP="00B719A2">
            <w:pPr>
              <w:rPr>
                <w:b/>
                <w:bCs/>
              </w:rPr>
            </w:pPr>
            <w:r w:rsidRPr="00B719A2">
              <w:rPr>
                <w:b/>
                <w:bCs/>
              </w:rPr>
              <w:t xml:space="preserve">Key </w:t>
            </w:r>
            <w:proofErr w:type="spellStart"/>
            <w:r w:rsidRPr="00B719A2">
              <w:rPr>
                <w:b/>
                <w:bCs/>
              </w:rPr>
              <w:t>Features</w:t>
            </w:r>
            <w:proofErr w:type="spellEnd"/>
          </w:p>
        </w:tc>
      </w:tr>
      <w:tr w:rsidR="00B719A2" w:rsidRPr="00B719A2" w14:paraId="0C01B9D4" w14:textId="77777777">
        <w:trPr>
          <w:tblCellSpacing w:w="15" w:type="dxa"/>
        </w:trPr>
        <w:tc>
          <w:tcPr>
            <w:tcW w:w="0" w:type="auto"/>
            <w:vAlign w:val="center"/>
            <w:hideMark/>
          </w:tcPr>
          <w:p w14:paraId="75345F1C" w14:textId="77777777" w:rsidR="00B719A2" w:rsidRPr="00B719A2" w:rsidRDefault="00B719A2" w:rsidP="00B719A2">
            <w:proofErr w:type="spellStart"/>
            <w:r w:rsidRPr="00B719A2">
              <w:t>Free</w:t>
            </w:r>
            <w:proofErr w:type="spellEnd"/>
          </w:p>
        </w:tc>
        <w:tc>
          <w:tcPr>
            <w:tcW w:w="0" w:type="auto"/>
            <w:vAlign w:val="center"/>
            <w:hideMark/>
          </w:tcPr>
          <w:p w14:paraId="7531BD2A" w14:textId="77777777" w:rsidR="00B719A2" w:rsidRPr="00B719A2" w:rsidRDefault="00B719A2" w:rsidP="00B719A2">
            <w:r w:rsidRPr="00B719A2">
              <w:t>300</w:t>
            </w:r>
          </w:p>
        </w:tc>
        <w:tc>
          <w:tcPr>
            <w:tcW w:w="0" w:type="auto"/>
            <w:vAlign w:val="center"/>
            <w:hideMark/>
          </w:tcPr>
          <w:p w14:paraId="1032E82D" w14:textId="77777777" w:rsidR="00B719A2" w:rsidRPr="00B719A2" w:rsidRDefault="00B719A2" w:rsidP="00B719A2">
            <w:pPr>
              <w:rPr>
                <w:lang w:val="en-GB"/>
              </w:rPr>
            </w:pPr>
            <w:r w:rsidRPr="00B719A2">
              <w:rPr>
                <w:lang w:val="en-GB"/>
              </w:rPr>
              <w:t>Hard limit; Commercial use allowed</w:t>
            </w:r>
          </w:p>
        </w:tc>
      </w:tr>
      <w:tr w:rsidR="00B719A2" w:rsidRPr="00B719A2" w14:paraId="0B60E8F7" w14:textId="77777777">
        <w:trPr>
          <w:tblCellSpacing w:w="15" w:type="dxa"/>
        </w:trPr>
        <w:tc>
          <w:tcPr>
            <w:tcW w:w="0" w:type="auto"/>
            <w:vAlign w:val="center"/>
            <w:hideMark/>
          </w:tcPr>
          <w:p w14:paraId="3942A553" w14:textId="77777777" w:rsidR="00B719A2" w:rsidRPr="00B719A2" w:rsidRDefault="00B719A2" w:rsidP="00B719A2">
            <w:r w:rsidRPr="00B719A2">
              <w:t>Personal ($9/</w:t>
            </w:r>
            <w:proofErr w:type="spellStart"/>
            <w:r w:rsidRPr="00B719A2">
              <w:t>mo</w:t>
            </w:r>
            <w:proofErr w:type="spellEnd"/>
            <w:r w:rsidRPr="00B719A2">
              <w:t>)</w:t>
            </w:r>
          </w:p>
        </w:tc>
        <w:tc>
          <w:tcPr>
            <w:tcW w:w="0" w:type="auto"/>
            <w:vAlign w:val="center"/>
            <w:hideMark/>
          </w:tcPr>
          <w:p w14:paraId="4CCD3A8B" w14:textId="77777777" w:rsidR="00B719A2" w:rsidRPr="00B719A2" w:rsidRDefault="00B719A2" w:rsidP="00B719A2">
            <w:r w:rsidRPr="00B719A2">
              <w:t>1,000</w:t>
            </w:r>
          </w:p>
        </w:tc>
        <w:tc>
          <w:tcPr>
            <w:tcW w:w="0" w:type="auto"/>
            <w:vAlign w:val="center"/>
            <w:hideMark/>
          </w:tcPr>
          <w:p w14:paraId="784BB4B8" w14:textId="77777777" w:rsidR="00B719A2" w:rsidRPr="00B719A2" w:rsidRDefault="00B719A2" w:rsidP="00B719A2">
            <w:pPr>
              <w:rPr>
                <w:lang w:val="en-GB"/>
              </w:rPr>
            </w:pPr>
            <w:r w:rsidRPr="00B719A2">
              <w:rPr>
                <w:lang w:val="en-GB"/>
              </w:rPr>
              <w:t>Auto-recharge available: 500 credits for $5</w:t>
            </w:r>
          </w:p>
        </w:tc>
      </w:tr>
      <w:tr w:rsidR="00B719A2" w:rsidRPr="00B719A2" w14:paraId="1A91FA67" w14:textId="77777777">
        <w:trPr>
          <w:tblCellSpacing w:w="15" w:type="dxa"/>
        </w:trPr>
        <w:tc>
          <w:tcPr>
            <w:tcW w:w="0" w:type="auto"/>
            <w:vAlign w:val="center"/>
            <w:hideMark/>
          </w:tcPr>
          <w:p w14:paraId="1FD5F16C" w14:textId="77777777" w:rsidR="00B719A2" w:rsidRPr="00B719A2" w:rsidRDefault="00B719A2" w:rsidP="00B719A2">
            <w:r w:rsidRPr="00B719A2">
              <w:t>Pro ($20/</w:t>
            </w:r>
            <w:proofErr w:type="spellStart"/>
            <w:r w:rsidRPr="00B719A2">
              <w:t>member</w:t>
            </w:r>
            <w:proofErr w:type="spellEnd"/>
            <w:r w:rsidRPr="00B719A2">
              <w:t>)</w:t>
            </w:r>
          </w:p>
        </w:tc>
        <w:tc>
          <w:tcPr>
            <w:tcW w:w="0" w:type="auto"/>
            <w:vAlign w:val="center"/>
            <w:hideMark/>
          </w:tcPr>
          <w:p w14:paraId="6D9B7DB8" w14:textId="77777777" w:rsidR="00B719A2" w:rsidRPr="00B719A2" w:rsidRDefault="00B719A2" w:rsidP="00B719A2">
            <w:r w:rsidRPr="00B719A2">
              <w:t>3,000</w:t>
            </w:r>
          </w:p>
        </w:tc>
        <w:tc>
          <w:tcPr>
            <w:tcW w:w="0" w:type="auto"/>
            <w:vAlign w:val="center"/>
            <w:hideMark/>
          </w:tcPr>
          <w:p w14:paraId="0132F29C" w14:textId="77777777" w:rsidR="00B719A2" w:rsidRPr="00B719A2" w:rsidRDefault="00B719A2" w:rsidP="00B719A2">
            <w:pPr>
              <w:rPr>
                <w:lang w:val="en-GB"/>
              </w:rPr>
            </w:pPr>
            <w:r w:rsidRPr="00B719A2">
              <w:rPr>
                <w:lang w:val="en-GB"/>
              </w:rPr>
              <w:t>Auto-recharge available: 1,500 credits for $10</w:t>
            </w:r>
          </w:p>
        </w:tc>
      </w:tr>
      <w:tr w:rsidR="00B719A2" w:rsidRPr="00B719A2" w14:paraId="4A58D34B" w14:textId="77777777">
        <w:trPr>
          <w:tblCellSpacing w:w="15" w:type="dxa"/>
        </w:trPr>
        <w:tc>
          <w:tcPr>
            <w:tcW w:w="0" w:type="auto"/>
            <w:vAlign w:val="center"/>
            <w:hideMark/>
          </w:tcPr>
          <w:p w14:paraId="6D400FF1" w14:textId="77777777" w:rsidR="00B719A2" w:rsidRPr="00B719A2" w:rsidRDefault="00B719A2" w:rsidP="00B719A2">
            <w:r w:rsidRPr="00B719A2">
              <w:t>Enterprise</w:t>
            </w:r>
          </w:p>
        </w:tc>
        <w:tc>
          <w:tcPr>
            <w:tcW w:w="0" w:type="auto"/>
            <w:vAlign w:val="center"/>
            <w:hideMark/>
          </w:tcPr>
          <w:p w14:paraId="4DB083AD" w14:textId="77777777" w:rsidR="00B719A2" w:rsidRPr="00B719A2" w:rsidRDefault="00B719A2" w:rsidP="00B719A2">
            <w:proofErr w:type="spellStart"/>
            <w:r w:rsidRPr="00B719A2">
              <w:t>Custom</w:t>
            </w:r>
            <w:proofErr w:type="spellEnd"/>
          </w:p>
        </w:tc>
        <w:tc>
          <w:tcPr>
            <w:tcW w:w="0" w:type="auto"/>
            <w:vAlign w:val="center"/>
            <w:hideMark/>
          </w:tcPr>
          <w:p w14:paraId="07B87478" w14:textId="77777777" w:rsidR="00B719A2" w:rsidRPr="00B719A2" w:rsidRDefault="00B719A2" w:rsidP="00B719A2">
            <w:pPr>
              <w:rPr>
                <w:lang w:val="en-GB"/>
              </w:rPr>
            </w:pPr>
            <w:r w:rsidRPr="00B719A2">
              <w:rPr>
                <w:lang w:val="en-GB"/>
              </w:rPr>
              <w:t>SLA, high-performance builds, log drains</w:t>
            </w:r>
          </w:p>
        </w:tc>
      </w:tr>
    </w:tbl>
    <w:p w14:paraId="4CAECAD3" w14:textId="77777777" w:rsidR="00B719A2" w:rsidRPr="00B719A2" w:rsidRDefault="00B719A2" w:rsidP="00B719A2">
      <w:pPr>
        <w:rPr>
          <w:lang w:val="en-GB"/>
        </w:rPr>
      </w:pPr>
      <w:r w:rsidRPr="00B719A2">
        <w:rPr>
          <w:lang w:val="en-GB"/>
        </w:rPr>
        <w:t>A critical differentiator for Netlify is its commercial use policy for the Free tier. Unlike competitors who restrict their free plans to personal projects, Netlify explicitly allows commercial projects on its Free tier, provided they operate within the 300 credit monthly limit. If a Free tier user hits their limit, the site is suspended until the next billing cycle, whereas Personal and Pro accounts can enable "Auto Recharge" to purchase additional credits automatically.</w:t>
      </w:r>
    </w:p>
    <w:p w14:paraId="68A7CDAD" w14:textId="77777777" w:rsidR="00B719A2" w:rsidRPr="00B719A2" w:rsidRDefault="00B719A2" w:rsidP="00B719A2">
      <w:pPr>
        <w:rPr>
          <w:b/>
          <w:bCs/>
          <w:lang w:val="en-GB"/>
        </w:rPr>
      </w:pPr>
      <w:r w:rsidRPr="00B719A2">
        <w:rPr>
          <w:b/>
          <w:bCs/>
          <w:lang w:val="en-GB"/>
        </w:rPr>
        <w:t>Consumption Rates by Feature</w:t>
      </w:r>
    </w:p>
    <w:p w14:paraId="088A5B90" w14:textId="77777777" w:rsidR="00B719A2" w:rsidRPr="00B719A2" w:rsidRDefault="00B719A2" w:rsidP="00B719A2">
      <w:pPr>
        <w:rPr>
          <w:lang w:val="en-GB"/>
        </w:rPr>
      </w:pPr>
      <w:r w:rsidRPr="00B719A2">
        <w:rPr>
          <w:lang w:val="en-GB"/>
        </w:rPr>
        <w:t>The value of credits is weighted based on the infrastructure intensity of the feature being utilized.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224"/>
        <w:gridCol w:w="4813"/>
      </w:tblGrid>
      <w:tr w:rsidR="00B719A2" w:rsidRPr="00B719A2" w14:paraId="288B12A7" w14:textId="77777777">
        <w:trPr>
          <w:tblCellSpacing w:w="15" w:type="dxa"/>
        </w:trPr>
        <w:tc>
          <w:tcPr>
            <w:tcW w:w="0" w:type="auto"/>
            <w:vAlign w:val="center"/>
            <w:hideMark/>
          </w:tcPr>
          <w:p w14:paraId="3EE76480" w14:textId="77777777" w:rsidR="00B719A2" w:rsidRPr="00B719A2" w:rsidRDefault="00B719A2" w:rsidP="00B719A2">
            <w:pPr>
              <w:rPr>
                <w:b/>
                <w:bCs/>
              </w:rPr>
            </w:pPr>
            <w:r w:rsidRPr="00B719A2">
              <w:rPr>
                <w:b/>
                <w:bCs/>
              </w:rPr>
              <w:t>Feature</w:t>
            </w:r>
          </w:p>
        </w:tc>
        <w:tc>
          <w:tcPr>
            <w:tcW w:w="0" w:type="auto"/>
            <w:vAlign w:val="center"/>
            <w:hideMark/>
          </w:tcPr>
          <w:p w14:paraId="4E075D63" w14:textId="77777777" w:rsidR="00B719A2" w:rsidRPr="00B719A2" w:rsidRDefault="00B719A2" w:rsidP="00B719A2">
            <w:pPr>
              <w:rPr>
                <w:b/>
                <w:bCs/>
              </w:rPr>
            </w:pPr>
            <w:proofErr w:type="spellStart"/>
            <w:r w:rsidRPr="00B719A2">
              <w:rPr>
                <w:b/>
                <w:bCs/>
              </w:rPr>
              <w:t>Consumption</w:t>
            </w:r>
            <w:proofErr w:type="spellEnd"/>
            <w:r w:rsidRPr="00B719A2">
              <w:rPr>
                <w:b/>
                <w:bCs/>
              </w:rPr>
              <w:t xml:space="preserve"> </w:t>
            </w:r>
            <w:proofErr w:type="spellStart"/>
            <w:r w:rsidRPr="00B719A2">
              <w:rPr>
                <w:b/>
                <w:bCs/>
              </w:rPr>
              <w:t>Rate</w:t>
            </w:r>
            <w:proofErr w:type="spellEnd"/>
          </w:p>
        </w:tc>
        <w:tc>
          <w:tcPr>
            <w:tcW w:w="0" w:type="auto"/>
            <w:vAlign w:val="center"/>
            <w:hideMark/>
          </w:tcPr>
          <w:p w14:paraId="0B968578" w14:textId="77777777" w:rsidR="00B719A2" w:rsidRPr="00B719A2" w:rsidRDefault="00B719A2" w:rsidP="00B719A2">
            <w:pPr>
              <w:rPr>
                <w:b/>
                <w:bCs/>
              </w:rPr>
            </w:pPr>
            <w:r w:rsidRPr="00B719A2">
              <w:rPr>
                <w:b/>
                <w:bCs/>
              </w:rPr>
              <w:t xml:space="preserve">Technical </w:t>
            </w:r>
            <w:proofErr w:type="spellStart"/>
            <w:r w:rsidRPr="00B719A2">
              <w:rPr>
                <w:b/>
                <w:bCs/>
              </w:rPr>
              <w:t>Metric</w:t>
            </w:r>
            <w:proofErr w:type="spellEnd"/>
          </w:p>
        </w:tc>
      </w:tr>
      <w:tr w:rsidR="00B719A2" w:rsidRPr="00B719A2" w14:paraId="4DEA1EC6" w14:textId="77777777">
        <w:trPr>
          <w:tblCellSpacing w:w="15" w:type="dxa"/>
        </w:trPr>
        <w:tc>
          <w:tcPr>
            <w:tcW w:w="0" w:type="auto"/>
            <w:vAlign w:val="center"/>
            <w:hideMark/>
          </w:tcPr>
          <w:p w14:paraId="7A576423" w14:textId="77777777" w:rsidR="00B719A2" w:rsidRPr="00B719A2" w:rsidRDefault="00B719A2" w:rsidP="00B719A2">
            <w:proofErr w:type="spellStart"/>
            <w:r w:rsidRPr="00B719A2">
              <w:t>Production</w:t>
            </w:r>
            <w:proofErr w:type="spellEnd"/>
            <w:r w:rsidRPr="00B719A2">
              <w:t xml:space="preserve"> </w:t>
            </w:r>
            <w:proofErr w:type="spellStart"/>
            <w:r w:rsidRPr="00B719A2">
              <w:t>Deploys</w:t>
            </w:r>
            <w:proofErr w:type="spellEnd"/>
          </w:p>
        </w:tc>
        <w:tc>
          <w:tcPr>
            <w:tcW w:w="0" w:type="auto"/>
            <w:vAlign w:val="center"/>
            <w:hideMark/>
          </w:tcPr>
          <w:p w14:paraId="05A979E5" w14:textId="77777777" w:rsidR="00B719A2" w:rsidRPr="00B719A2" w:rsidRDefault="00B719A2" w:rsidP="00B719A2">
            <w:r w:rsidRPr="00B719A2">
              <w:t xml:space="preserve">15 </w:t>
            </w:r>
            <w:proofErr w:type="spellStart"/>
            <w:r w:rsidRPr="00B719A2">
              <w:t>credits</w:t>
            </w:r>
            <w:proofErr w:type="spellEnd"/>
            <w:r w:rsidRPr="00B719A2">
              <w:t xml:space="preserve"> </w:t>
            </w:r>
            <w:proofErr w:type="spellStart"/>
            <w:r w:rsidRPr="00B719A2">
              <w:t>each</w:t>
            </w:r>
            <w:proofErr w:type="spellEnd"/>
          </w:p>
        </w:tc>
        <w:tc>
          <w:tcPr>
            <w:tcW w:w="0" w:type="auto"/>
            <w:vAlign w:val="center"/>
            <w:hideMark/>
          </w:tcPr>
          <w:p w14:paraId="51B5FE50" w14:textId="77777777" w:rsidR="00B719A2" w:rsidRPr="00B719A2" w:rsidRDefault="00B719A2" w:rsidP="00B719A2">
            <w:pPr>
              <w:rPr>
                <w:lang w:val="en-GB"/>
              </w:rPr>
            </w:pPr>
            <w:r w:rsidRPr="00B719A2">
              <w:rPr>
                <w:lang w:val="en-GB"/>
              </w:rPr>
              <w:t>DeployPreviews/Branch deploys cost 0 credits</w:t>
            </w:r>
          </w:p>
        </w:tc>
      </w:tr>
      <w:tr w:rsidR="00B719A2" w:rsidRPr="00B719A2" w14:paraId="4C2BE083" w14:textId="77777777">
        <w:trPr>
          <w:tblCellSpacing w:w="15" w:type="dxa"/>
        </w:trPr>
        <w:tc>
          <w:tcPr>
            <w:tcW w:w="0" w:type="auto"/>
            <w:vAlign w:val="center"/>
            <w:hideMark/>
          </w:tcPr>
          <w:p w14:paraId="29AB785C" w14:textId="77777777" w:rsidR="00B719A2" w:rsidRPr="00B719A2" w:rsidRDefault="00B719A2" w:rsidP="00B719A2">
            <w:proofErr w:type="spellStart"/>
            <w:r w:rsidRPr="00B719A2">
              <w:t>Compute</w:t>
            </w:r>
            <w:proofErr w:type="spellEnd"/>
          </w:p>
        </w:tc>
        <w:tc>
          <w:tcPr>
            <w:tcW w:w="0" w:type="auto"/>
            <w:vAlign w:val="center"/>
            <w:hideMark/>
          </w:tcPr>
          <w:p w14:paraId="32352083" w14:textId="77777777" w:rsidR="00B719A2" w:rsidRPr="00B719A2" w:rsidRDefault="00B719A2" w:rsidP="00B719A2">
            <w:r w:rsidRPr="00B719A2">
              <w:t xml:space="preserve">5 </w:t>
            </w:r>
            <w:proofErr w:type="spellStart"/>
            <w:r w:rsidRPr="00B719A2">
              <w:t>credits</w:t>
            </w:r>
            <w:proofErr w:type="spellEnd"/>
            <w:r w:rsidRPr="00B719A2">
              <w:t xml:space="preserve"> per GB-</w:t>
            </w:r>
            <w:proofErr w:type="spellStart"/>
            <w:r w:rsidRPr="00B719A2">
              <w:t>hour</w:t>
            </w:r>
            <w:proofErr w:type="spellEnd"/>
          </w:p>
        </w:tc>
        <w:tc>
          <w:tcPr>
            <w:tcW w:w="0" w:type="auto"/>
            <w:vAlign w:val="center"/>
            <w:hideMark/>
          </w:tcPr>
          <w:p w14:paraId="3B2D192E" w14:textId="77777777" w:rsidR="00B719A2" w:rsidRPr="00B719A2" w:rsidRDefault="00B719A2" w:rsidP="00B719A2">
            <w:pPr>
              <w:rPr>
                <w:lang w:val="en-GB"/>
              </w:rPr>
            </w:pPr>
            <w:r w:rsidRPr="00B719A2">
              <w:rPr>
                <w:lang w:val="en-GB"/>
              </w:rPr>
              <w:t>Memory × Execution time for functions</w:t>
            </w:r>
          </w:p>
        </w:tc>
      </w:tr>
      <w:tr w:rsidR="00B719A2" w:rsidRPr="00B719A2" w14:paraId="5D0B4AA5" w14:textId="77777777">
        <w:trPr>
          <w:tblCellSpacing w:w="15" w:type="dxa"/>
        </w:trPr>
        <w:tc>
          <w:tcPr>
            <w:tcW w:w="0" w:type="auto"/>
            <w:vAlign w:val="center"/>
            <w:hideMark/>
          </w:tcPr>
          <w:p w14:paraId="4A50E385" w14:textId="77777777" w:rsidR="00B719A2" w:rsidRPr="00B719A2" w:rsidRDefault="00B719A2" w:rsidP="00B719A2">
            <w:proofErr w:type="spellStart"/>
            <w:r w:rsidRPr="00B719A2">
              <w:t>Bandwidth</w:t>
            </w:r>
            <w:proofErr w:type="spellEnd"/>
          </w:p>
        </w:tc>
        <w:tc>
          <w:tcPr>
            <w:tcW w:w="0" w:type="auto"/>
            <w:vAlign w:val="center"/>
            <w:hideMark/>
          </w:tcPr>
          <w:p w14:paraId="1C354EAB" w14:textId="77777777" w:rsidR="00B719A2" w:rsidRPr="00B719A2" w:rsidRDefault="00B719A2" w:rsidP="00B719A2">
            <w:r w:rsidRPr="00B719A2">
              <w:t xml:space="preserve">10 </w:t>
            </w:r>
            <w:proofErr w:type="spellStart"/>
            <w:r w:rsidRPr="00B719A2">
              <w:t>credits</w:t>
            </w:r>
            <w:proofErr w:type="spellEnd"/>
            <w:r w:rsidRPr="00B719A2">
              <w:t xml:space="preserve"> per GB</w:t>
            </w:r>
          </w:p>
        </w:tc>
        <w:tc>
          <w:tcPr>
            <w:tcW w:w="0" w:type="auto"/>
            <w:vAlign w:val="center"/>
            <w:hideMark/>
          </w:tcPr>
          <w:p w14:paraId="4417B86F" w14:textId="77777777" w:rsidR="00B719A2" w:rsidRPr="00B719A2" w:rsidRDefault="00B719A2" w:rsidP="00B719A2">
            <w:pPr>
              <w:rPr>
                <w:lang w:val="en-GB"/>
              </w:rPr>
            </w:pPr>
            <w:r w:rsidRPr="00B719A2">
              <w:rPr>
                <w:lang w:val="en-GB"/>
              </w:rPr>
              <w:t>Egress data to the internet</w:t>
            </w:r>
          </w:p>
        </w:tc>
      </w:tr>
      <w:tr w:rsidR="00B719A2" w:rsidRPr="00B719A2" w14:paraId="65E6131F" w14:textId="77777777">
        <w:trPr>
          <w:tblCellSpacing w:w="15" w:type="dxa"/>
        </w:trPr>
        <w:tc>
          <w:tcPr>
            <w:tcW w:w="0" w:type="auto"/>
            <w:vAlign w:val="center"/>
            <w:hideMark/>
          </w:tcPr>
          <w:p w14:paraId="153B915B" w14:textId="77777777" w:rsidR="00B719A2" w:rsidRPr="00B719A2" w:rsidRDefault="00B719A2" w:rsidP="00B719A2">
            <w:r w:rsidRPr="00B719A2">
              <w:t xml:space="preserve">Web </w:t>
            </w:r>
            <w:proofErr w:type="spellStart"/>
            <w:r w:rsidRPr="00B719A2">
              <w:t>Requests</w:t>
            </w:r>
            <w:proofErr w:type="spellEnd"/>
          </w:p>
        </w:tc>
        <w:tc>
          <w:tcPr>
            <w:tcW w:w="0" w:type="auto"/>
            <w:vAlign w:val="center"/>
            <w:hideMark/>
          </w:tcPr>
          <w:p w14:paraId="29441BBD" w14:textId="77777777" w:rsidR="00B719A2" w:rsidRPr="00B719A2" w:rsidRDefault="00B719A2" w:rsidP="00B719A2">
            <w:r w:rsidRPr="00B719A2">
              <w:t xml:space="preserve">3 </w:t>
            </w:r>
            <w:proofErr w:type="spellStart"/>
            <w:r w:rsidRPr="00B719A2">
              <w:t>credits</w:t>
            </w:r>
            <w:proofErr w:type="spellEnd"/>
            <w:r w:rsidRPr="00B719A2">
              <w:t xml:space="preserve"> per 10k</w:t>
            </w:r>
          </w:p>
        </w:tc>
        <w:tc>
          <w:tcPr>
            <w:tcW w:w="0" w:type="auto"/>
            <w:vAlign w:val="center"/>
            <w:hideMark/>
          </w:tcPr>
          <w:p w14:paraId="34E8E6AC" w14:textId="77777777" w:rsidR="00B719A2" w:rsidRPr="00B719A2" w:rsidRDefault="00B719A2" w:rsidP="00B719A2">
            <w:pPr>
              <w:rPr>
                <w:lang w:val="en-GB"/>
              </w:rPr>
            </w:pPr>
            <w:r w:rsidRPr="00B719A2">
              <w:rPr>
                <w:lang w:val="en-GB"/>
              </w:rPr>
              <w:t>Page views, API calls, redirects, Edge functions</w:t>
            </w:r>
          </w:p>
        </w:tc>
      </w:tr>
      <w:tr w:rsidR="00B719A2" w:rsidRPr="00B719A2" w14:paraId="43B22284" w14:textId="77777777">
        <w:trPr>
          <w:tblCellSpacing w:w="15" w:type="dxa"/>
        </w:trPr>
        <w:tc>
          <w:tcPr>
            <w:tcW w:w="0" w:type="auto"/>
            <w:vAlign w:val="center"/>
            <w:hideMark/>
          </w:tcPr>
          <w:p w14:paraId="467886C5" w14:textId="77777777" w:rsidR="00B719A2" w:rsidRPr="00B719A2" w:rsidRDefault="00B719A2" w:rsidP="00B719A2">
            <w:r w:rsidRPr="00B719A2">
              <w:lastRenderedPageBreak/>
              <w:t xml:space="preserve">AI </w:t>
            </w:r>
            <w:proofErr w:type="spellStart"/>
            <w:r w:rsidRPr="00B719A2">
              <w:t>Inference</w:t>
            </w:r>
            <w:proofErr w:type="spellEnd"/>
          </w:p>
        </w:tc>
        <w:tc>
          <w:tcPr>
            <w:tcW w:w="0" w:type="auto"/>
            <w:vAlign w:val="center"/>
            <w:hideMark/>
          </w:tcPr>
          <w:p w14:paraId="18D70CBC" w14:textId="77777777" w:rsidR="00B719A2" w:rsidRPr="00B719A2" w:rsidRDefault="00B719A2" w:rsidP="00B719A2">
            <w:r w:rsidRPr="00B719A2">
              <w:t xml:space="preserve">180 </w:t>
            </w:r>
            <w:proofErr w:type="spellStart"/>
            <w:r w:rsidRPr="00B719A2">
              <w:t>credits</w:t>
            </w:r>
            <w:proofErr w:type="spellEnd"/>
            <w:r w:rsidRPr="00B719A2">
              <w:t xml:space="preserve"> per $1 USD</w:t>
            </w:r>
          </w:p>
        </w:tc>
        <w:tc>
          <w:tcPr>
            <w:tcW w:w="0" w:type="auto"/>
            <w:vAlign w:val="center"/>
            <w:hideMark/>
          </w:tcPr>
          <w:p w14:paraId="0D10419F" w14:textId="77777777" w:rsidR="00B719A2" w:rsidRPr="00B719A2" w:rsidRDefault="00B719A2" w:rsidP="00B719A2">
            <w:pPr>
              <w:rPr>
                <w:lang w:val="en-GB"/>
              </w:rPr>
            </w:pPr>
            <w:r w:rsidRPr="00B719A2">
              <w:rPr>
                <w:lang w:val="en-GB"/>
              </w:rPr>
              <w:t>Based on tokens used via Agent Runners/Gateway</w:t>
            </w:r>
          </w:p>
        </w:tc>
      </w:tr>
      <w:tr w:rsidR="00B719A2" w:rsidRPr="00B719A2" w14:paraId="57051603" w14:textId="77777777">
        <w:trPr>
          <w:tblCellSpacing w:w="15" w:type="dxa"/>
        </w:trPr>
        <w:tc>
          <w:tcPr>
            <w:tcW w:w="0" w:type="auto"/>
            <w:vAlign w:val="center"/>
            <w:hideMark/>
          </w:tcPr>
          <w:p w14:paraId="23E2ECCF" w14:textId="77777777" w:rsidR="00B719A2" w:rsidRPr="00B719A2" w:rsidRDefault="00B719A2" w:rsidP="00B719A2">
            <w:proofErr w:type="spellStart"/>
            <w:r w:rsidRPr="00B719A2">
              <w:t>Form</w:t>
            </w:r>
            <w:proofErr w:type="spellEnd"/>
            <w:r w:rsidRPr="00B719A2">
              <w:t xml:space="preserve"> </w:t>
            </w:r>
            <w:proofErr w:type="spellStart"/>
            <w:r w:rsidRPr="00B719A2">
              <w:t>Submissions</w:t>
            </w:r>
            <w:proofErr w:type="spellEnd"/>
          </w:p>
        </w:tc>
        <w:tc>
          <w:tcPr>
            <w:tcW w:w="0" w:type="auto"/>
            <w:vAlign w:val="center"/>
            <w:hideMark/>
          </w:tcPr>
          <w:p w14:paraId="53A38648" w14:textId="77777777" w:rsidR="00B719A2" w:rsidRPr="00B719A2" w:rsidRDefault="00B719A2" w:rsidP="00B719A2">
            <w:r w:rsidRPr="00B719A2">
              <w:t xml:space="preserve">1 </w:t>
            </w:r>
            <w:proofErr w:type="spellStart"/>
            <w:r w:rsidRPr="00B719A2">
              <w:t>credit</w:t>
            </w:r>
            <w:proofErr w:type="spellEnd"/>
            <w:r w:rsidRPr="00B719A2">
              <w:t xml:space="preserve"> </w:t>
            </w:r>
            <w:proofErr w:type="spellStart"/>
            <w:r w:rsidRPr="00B719A2">
              <w:t>each</w:t>
            </w:r>
            <w:proofErr w:type="spellEnd"/>
          </w:p>
        </w:tc>
        <w:tc>
          <w:tcPr>
            <w:tcW w:w="0" w:type="auto"/>
            <w:vAlign w:val="center"/>
            <w:hideMark/>
          </w:tcPr>
          <w:p w14:paraId="43636421" w14:textId="77777777" w:rsidR="00B719A2" w:rsidRPr="00B719A2" w:rsidRDefault="00B719A2" w:rsidP="00B719A2">
            <w:r w:rsidRPr="00B719A2">
              <w:t>Non-</w:t>
            </w:r>
            <w:proofErr w:type="spellStart"/>
            <w:r w:rsidRPr="00B719A2">
              <w:t>spam</w:t>
            </w:r>
            <w:proofErr w:type="spellEnd"/>
            <w:r w:rsidRPr="00B719A2">
              <w:t xml:space="preserve"> </w:t>
            </w:r>
            <w:proofErr w:type="spellStart"/>
            <w:r w:rsidRPr="00B719A2">
              <w:t>submissions</w:t>
            </w:r>
            <w:proofErr w:type="spellEnd"/>
            <w:r w:rsidRPr="00B719A2">
              <w:t xml:space="preserve"> </w:t>
            </w:r>
            <w:proofErr w:type="spellStart"/>
            <w:r w:rsidRPr="00B719A2">
              <w:t>only</w:t>
            </w:r>
            <w:proofErr w:type="spellEnd"/>
          </w:p>
        </w:tc>
      </w:tr>
    </w:tbl>
    <w:p w14:paraId="792A4AA0" w14:textId="77777777" w:rsidR="00B719A2" w:rsidRPr="00B719A2" w:rsidRDefault="00B719A2" w:rsidP="00B719A2">
      <w:pPr>
        <w:rPr>
          <w:lang w:val="en-GB"/>
        </w:rPr>
      </w:pPr>
      <w:r w:rsidRPr="00B719A2">
        <w:rPr>
          <w:lang w:val="en-GB"/>
        </w:rPr>
        <w:t>Under this model, "build minutes" are no longer the primary billing metric for deployments; instead, each production deployment carries a flat cost of 15 credits. This encourages frequent testing via Deploy Previews (which are free) while creating a predictable cost for pushing to production.</w:t>
      </w:r>
    </w:p>
    <w:p w14:paraId="667DDEA6" w14:textId="77777777" w:rsidR="00B719A2" w:rsidRPr="00B719A2" w:rsidRDefault="00B719A2" w:rsidP="00B719A2">
      <w:pPr>
        <w:rPr>
          <w:b/>
          <w:bCs/>
          <w:lang w:val="en-GB"/>
        </w:rPr>
      </w:pPr>
      <w:r w:rsidRPr="00B719A2">
        <w:rPr>
          <w:b/>
          <w:bCs/>
          <w:lang w:val="en-GB"/>
        </w:rPr>
        <w:t>Git Workflows and Deployment Integrity</w:t>
      </w:r>
    </w:p>
    <w:p w14:paraId="05D37055" w14:textId="77777777" w:rsidR="00B719A2" w:rsidRPr="00B719A2" w:rsidRDefault="00B719A2" w:rsidP="00B719A2">
      <w:pPr>
        <w:rPr>
          <w:lang w:val="en-GB"/>
        </w:rPr>
      </w:pPr>
      <w:r w:rsidRPr="00B719A2">
        <w:rPr>
          <w:lang w:val="en-GB"/>
        </w:rPr>
        <w:t>The Netlify deployment engine is optimized for high-velocity teams utilizing Git-centric workflows. It supports several deployment contexts that allow for a structured path from development to production.</w:t>
      </w:r>
    </w:p>
    <w:p w14:paraId="1B89212E" w14:textId="77777777" w:rsidR="00B719A2" w:rsidRPr="00B719A2" w:rsidRDefault="00B719A2" w:rsidP="00B719A2">
      <w:pPr>
        <w:rPr>
          <w:b/>
          <w:bCs/>
          <w:lang w:val="en-GB"/>
        </w:rPr>
      </w:pPr>
      <w:r w:rsidRPr="00B719A2">
        <w:rPr>
          <w:b/>
          <w:bCs/>
          <w:lang w:val="en-GB"/>
        </w:rPr>
        <w:t>Atomic Deploys and Versioning</w:t>
      </w:r>
    </w:p>
    <w:p w14:paraId="76CAB34E" w14:textId="77777777" w:rsidR="00B719A2" w:rsidRPr="00B719A2" w:rsidRDefault="00B719A2" w:rsidP="00B719A2">
      <w:pPr>
        <w:rPr>
          <w:lang w:val="en-GB"/>
        </w:rPr>
      </w:pPr>
      <w:r w:rsidRPr="00B719A2">
        <w:rPr>
          <w:lang w:val="en-GB"/>
        </w:rPr>
        <w:t>Netlify’s core infrastructure is built on atomic deploys. When a site is deployed, Netlify generates a file digest and compares it with previous deploys, only uploading changed files. No changes go live on the public URL until every file in the new version has been successfully uploaded and processed, ensuring that the site is never in a partial state.</w:t>
      </w:r>
    </w:p>
    <w:p w14:paraId="594DB01E" w14:textId="77777777" w:rsidR="00B719A2" w:rsidRPr="00B719A2" w:rsidRDefault="00B719A2" w:rsidP="00B719A2">
      <w:pPr>
        <w:rPr>
          <w:lang w:val="en-GB"/>
        </w:rPr>
      </w:pPr>
      <w:r w:rsidRPr="00B719A2">
        <w:rPr>
          <w:lang w:val="en-GB"/>
        </w:rPr>
        <w:t>Functions are similarly versioned and immutable. An update to a function in a production branch does not affect the versions of that function currently running in older branch deploys or Deploy Previews. This immutability is essential for maintaining consistency across complex, globally distributed applications.</w:t>
      </w:r>
    </w:p>
    <w:p w14:paraId="146A679C" w14:textId="77777777" w:rsidR="00B719A2" w:rsidRPr="00B719A2" w:rsidRDefault="00B719A2" w:rsidP="00B719A2">
      <w:pPr>
        <w:rPr>
          <w:b/>
          <w:bCs/>
          <w:lang w:val="en-GB"/>
        </w:rPr>
      </w:pPr>
      <w:r w:rsidRPr="00B719A2">
        <w:rPr>
          <w:b/>
          <w:bCs/>
          <w:lang w:val="en-GB"/>
        </w:rPr>
        <w:t>Collaborative Deploy Previews</w:t>
      </w:r>
    </w:p>
    <w:p w14:paraId="5115970D" w14:textId="77777777" w:rsidR="00B719A2" w:rsidRPr="00B719A2" w:rsidRDefault="00B719A2" w:rsidP="00B719A2">
      <w:pPr>
        <w:rPr>
          <w:lang w:val="en-GB"/>
        </w:rPr>
      </w:pPr>
      <w:r w:rsidRPr="00B719A2">
        <w:rPr>
          <w:lang w:val="en-GB"/>
        </w:rPr>
        <w:t>One of the platform's most distinctive features is the Deploy Preview. For every pull request or merge request, Netlify generates a unique URL that reflects the proposed changes.</w:t>
      </w:r>
    </w:p>
    <w:p w14:paraId="44509D39" w14:textId="77777777" w:rsidR="00B719A2" w:rsidRPr="00B719A2" w:rsidRDefault="00B719A2" w:rsidP="00B719A2">
      <w:pPr>
        <w:numPr>
          <w:ilvl w:val="0"/>
          <w:numId w:val="3"/>
        </w:numPr>
        <w:rPr>
          <w:lang w:val="en-GB"/>
        </w:rPr>
      </w:pPr>
      <w:r w:rsidRPr="00B719A2">
        <w:rPr>
          <w:b/>
          <w:bCs/>
          <w:lang w:val="en-GB"/>
        </w:rPr>
        <w:t>Netlify Drawer:</w:t>
      </w:r>
      <w:r w:rsidRPr="00B719A2">
        <w:rPr>
          <w:lang w:val="en-GB"/>
        </w:rPr>
        <w:t xml:space="preserve"> An overlay that appears on Deploy Previews, allowing reviewers to record screen/voice walkthroughs, take screenshots, and leave context-rich feedback directly on the page.</w:t>
      </w:r>
    </w:p>
    <w:p w14:paraId="63AC62D4" w14:textId="77777777" w:rsidR="00B719A2" w:rsidRPr="00B719A2" w:rsidRDefault="00B719A2" w:rsidP="00B719A2">
      <w:pPr>
        <w:numPr>
          <w:ilvl w:val="0"/>
          <w:numId w:val="3"/>
        </w:numPr>
        <w:rPr>
          <w:lang w:val="en-GB"/>
        </w:rPr>
      </w:pPr>
      <w:r w:rsidRPr="00B719A2">
        <w:rPr>
          <w:b/>
          <w:bCs/>
          <w:lang w:val="en-GB"/>
        </w:rPr>
        <w:t>Workflow Integration:</w:t>
      </w:r>
      <w:r w:rsidRPr="00B719A2">
        <w:rPr>
          <w:lang w:val="en-GB"/>
        </w:rPr>
        <w:t xml:space="preserve"> Feedback left in the Netlify Drawer can be automatically synced to tools like GitHub, Jira, Trello, and Linear.</w:t>
      </w:r>
    </w:p>
    <w:p w14:paraId="67585806" w14:textId="77777777" w:rsidR="00B719A2" w:rsidRPr="00B719A2" w:rsidRDefault="00B719A2" w:rsidP="00B719A2">
      <w:pPr>
        <w:numPr>
          <w:ilvl w:val="0"/>
          <w:numId w:val="3"/>
        </w:numPr>
        <w:rPr>
          <w:lang w:val="en-GB"/>
        </w:rPr>
      </w:pPr>
      <w:r w:rsidRPr="00B719A2">
        <w:rPr>
          <w:b/>
          <w:bCs/>
          <w:lang w:val="en-GB"/>
        </w:rPr>
        <w:t>Device Testing:</w:t>
      </w:r>
      <w:r w:rsidRPr="00B719A2">
        <w:rPr>
          <w:lang w:val="en-GB"/>
        </w:rPr>
        <w:t xml:space="preserve"> Previews can be tested across multiple device sizes, and QR codes can be generated to load the preview instantly on mobile devices.</w:t>
      </w:r>
    </w:p>
    <w:p w14:paraId="4335C56E" w14:textId="77777777" w:rsidR="00B719A2" w:rsidRPr="00B719A2" w:rsidRDefault="00B719A2" w:rsidP="00B719A2">
      <w:pPr>
        <w:numPr>
          <w:ilvl w:val="0"/>
          <w:numId w:val="3"/>
        </w:numPr>
        <w:rPr>
          <w:lang w:val="en-GB"/>
        </w:rPr>
      </w:pPr>
      <w:r w:rsidRPr="00B719A2">
        <w:rPr>
          <w:b/>
          <w:bCs/>
          <w:lang w:val="en-GB"/>
        </w:rPr>
        <w:t>Log Access:</w:t>
      </w:r>
      <w:r w:rsidRPr="00B719A2">
        <w:rPr>
          <w:lang w:val="en-GB"/>
        </w:rPr>
        <w:t xml:space="preserve"> Developers can access the most recent deploy logs directly within the Netlify Drawer, shortening the feedback loop for debugging.</w:t>
      </w:r>
    </w:p>
    <w:p w14:paraId="00E3F258" w14:textId="77777777" w:rsidR="00B719A2" w:rsidRPr="00B719A2" w:rsidRDefault="00B719A2" w:rsidP="00B719A2">
      <w:pPr>
        <w:rPr>
          <w:lang w:val="en-GB"/>
        </w:rPr>
      </w:pPr>
      <w:r w:rsidRPr="00B719A2">
        <w:rPr>
          <w:lang w:val="en-GB"/>
        </w:rPr>
        <w:t>For security-conscious environments, Netlify allows teams to enforce Git-based deployments. This setting ensures that the production branch can only be updated through a Git push, preventing accidental or unauthorized deployments via the CLI or API.</w:t>
      </w:r>
    </w:p>
    <w:p w14:paraId="43D4C43A" w14:textId="77777777" w:rsidR="00B719A2" w:rsidRPr="00B719A2" w:rsidRDefault="00B719A2" w:rsidP="00B719A2">
      <w:pPr>
        <w:rPr>
          <w:b/>
          <w:bCs/>
          <w:lang w:val="en-GB"/>
        </w:rPr>
      </w:pPr>
      <w:r w:rsidRPr="00B719A2">
        <w:rPr>
          <w:b/>
          <w:bCs/>
          <w:lang w:val="en-GB"/>
        </w:rPr>
        <w:t>Strategic Outlook and Ecosystem Positioning</w:t>
      </w:r>
    </w:p>
    <w:p w14:paraId="5478CFFE" w14:textId="77777777" w:rsidR="00B719A2" w:rsidRPr="00B719A2" w:rsidRDefault="00B719A2" w:rsidP="00B719A2">
      <w:pPr>
        <w:rPr>
          <w:lang w:val="en-GB"/>
        </w:rPr>
      </w:pPr>
      <w:r w:rsidRPr="00B719A2">
        <w:rPr>
          <w:lang w:val="en-GB"/>
        </w:rPr>
        <w:t xml:space="preserve">Netlify’s strategic direction is increasingly focused on becoming the primary infrastructure partner for modern web frameworks, particularly those like TanStack Start that prioritize type safety and modularity. By providing deep integration with Nitro, Netlify offers a flexible </w:t>
      </w:r>
      <w:r w:rsidRPr="00B719A2">
        <w:rPr>
          <w:lang w:val="en-GB"/>
        </w:rPr>
        <w:lastRenderedPageBreak/>
        <w:t>deployment target that supports multiple runtimes and compute models without the constraints of opinionated framework magic.</w:t>
      </w:r>
    </w:p>
    <w:p w14:paraId="39D0304B" w14:textId="77777777" w:rsidR="00B719A2" w:rsidRPr="00B719A2" w:rsidRDefault="00B719A2" w:rsidP="00B719A2">
      <w:pPr>
        <w:rPr>
          <w:lang w:val="en-GB"/>
        </w:rPr>
      </w:pPr>
      <w:r w:rsidRPr="00B719A2">
        <w:rPr>
          <w:lang w:val="en-GB"/>
        </w:rPr>
        <w:t>The architectural choice between frameworks often comes down to the rendering paradigm. While Next.js remains the dominant player for server-first, content-heavy applications optimized for Vercel, TanStack Start offers a compelling alternative for teams seeking explicit data flows and lightning-fast Vite-based development builds. Netlify’s support for both ecosystems—along with Astro, Nuxt, and Remix—positions it as an agnostic foundation for the next decade of web development.</w:t>
      </w:r>
    </w:p>
    <w:p w14:paraId="02D9921B" w14:textId="77777777" w:rsidR="00B719A2" w:rsidRPr="00B719A2" w:rsidRDefault="00B719A2" w:rsidP="00B719A2">
      <w:pPr>
        <w:rPr>
          <w:lang w:val="en-GB"/>
        </w:rPr>
      </w:pPr>
      <w:r w:rsidRPr="00B719A2">
        <w:rPr>
          <w:lang w:val="en-GB"/>
        </w:rPr>
        <w:t>The transition to credit-based billing and the inclusion of the INIT phase in compute costs signal a maturation of the serverless model. Developers must now be as diligent about their infrastructure footprint as they are about their application code. By leveraging platform primitives like Blobs and the Cache API, teams can build highly performant, stateful applications on a serverless foundation, while the unified credit system provides a single lens through which to manage the costs of compute, bandwidth, and AI integration.</w:t>
      </w:r>
    </w:p>
    <w:p w14:paraId="6FC6B5A7" w14:textId="77777777" w:rsidR="00B719A2" w:rsidRPr="00B719A2" w:rsidRDefault="00B719A2" w:rsidP="00B719A2">
      <w:pPr>
        <w:rPr>
          <w:lang w:val="en-GB"/>
        </w:rPr>
      </w:pPr>
      <w:r w:rsidRPr="00B719A2">
        <w:rPr>
          <w:lang w:val="en-GB"/>
        </w:rPr>
        <w:t>In conclusion, Netlify’s infrastructure is no longer just a hosting provider but a sophisticated platform of interconnected primitives. Its success is rooted in the combination of atomic deployment integrity, a highly distributed edge network, and a commitment to open, framework-agnostic development. As the web continues to move toward more dynamic, AI-integrated experiences, the platform's ability to balance performance, developer experience, and cost transparency will remain its primary competitive advantage.</w:t>
      </w:r>
    </w:p>
    <w:p w14:paraId="3533A914" w14:textId="77777777" w:rsidR="00B719A2" w:rsidRPr="00B719A2" w:rsidRDefault="00B719A2" w:rsidP="00B719A2">
      <w:r w:rsidRPr="00B719A2">
        <w:pict w14:anchorId="51A3AE54">
          <v:rect id="_x0000_i1031" style="width:0;height:1.5pt" o:hralign="center" o:hrstd="t" o:hr="t" fillcolor="#a0a0a0" stroked="f"/>
        </w:pict>
      </w:r>
    </w:p>
    <w:p w14:paraId="19EA33EB" w14:textId="77777777" w:rsidR="00B719A2" w:rsidRPr="00B719A2" w:rsidRDefault="00B719A2" w:rsidP="00B719A2">
      <w:proofErr w:type="spellStart"/>
      <w:r w:rsidRPr="00B719A2">
        <w:rPr>
          <w:b/>
          <w:bCs/>
        </w:rPr>
        <w:t>References</w:t>
      </w:r>
      <w:proofErr w:type="spellEnd"/>
      <w:r w:rsidRPr="00B719A2">
        <w:rPr>
          <w:b/>
          <w:bCs/>
        </w:rPr>
        <w:t>:</w:t>
      </w:r>
    </w:p>
    <w:p w14:paraId="37407845" w14:textId="77777777" w:rsidR="009657B4" w:rsidRDefault="009657B4"/>
    <w:sectPr w:rsidR="009657B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492"/>
    <w:multiLevelType w:val="multilevel"/>
    <w:tmpl w:val="FF6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F2D46"/>
    <w:multiLevelType w:val="multilevel"/>
    <w:tmpl w:val="2B2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D2943"/>
    <w:multiLevelType w:val="multilevel"/>
    <w:tmpl w:val="2F1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364247">
    <w:abstractNumId w:val="1"/>
  </w:num>
  <w:num w:numId="2" w16cid:durableId="246620748">
    <w:abstractNumId w:val="0"/>
  </w:num>
  <w:num w:numId="3" w16cid:durableId="1193229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9A2"/>
    <w:rsid w:val="001A292C"/>
    <w:rsid w:val="002D328D"/>
    <w:rsid w:val="00601E6B"/>
    <w:rsid w:val="00731F0D"/>
    <w:rsid w:val="00812D38"/>
    <w:rsid w:val="009657B4"/>
    <w:rsid w:val="00B719A2"/>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D0A1"/>
  <w15:chartTrackingRefBased/>
  <w15:docId w15:val="{81EBD782-901F-4FB3-9455-8A57AA9D3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9A2"/>
    <w:rPr>
      <w:rFonts w:eastAsiaTheme="majorEastAsia" w:cstheme="majorBidi"/>
      <w:color w:val="272727" w:themeColor="text1" w:themeTint="D8"/>
    </w:rPr>
  </w:style>
  <w:style w:type="paragraph" w:styleId="Title">
    <w:name w:val="Title"/>
    <w:basedOn w:val="Normal"/>
    <w:next w:val="Normal"/>
    <w:link w:val="TitleChar"/>
    <w:uiPriority w:val="10"/>
    <w:qFormat/>
    <w:rsid w:val="00B71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9A2"/>
    <w:pPr>
      <w:spacing w:before="160"/>
      <w:jc w:val="center"/>
    </w:pPr>
    <w:rPr>
      <w:i/>
      <w:iCs/>
      <w:color w:val="404040" w:themeColor="text1" w:themeTint="BF"/>
    </w:rPr>
  </w:style>
  <w:style w:type="character" w:customStyle="1" w:styleId="QuoteChar">
    <w:name w:val="Quote Char"/>
    <w:basedOn w:val="DefaultParagraphFont"/>
    <w:link w:val="Quote"/>
    <w:uiPriority w:val="29"/>
    <w:rsid w:val="00B719A2"/>
    <w:rPr>
      <w:i/>
      <w:iCs/>
      <w:color w:val="404040" w:themeColor="text1" w:themeTint="BF"/>
    </w:rPr>
  </w:style>
  <w:style w:type="paragraph" w:styleId="ListParagraph">
    <w:name w:val="List Paragraph"/>
    <w:basedOn w:val="Normal"/>
    <w:uiPriority w:val="34"/>
    <w:qFormat/>
    <w:rsid w:val="00B719A2"/>
    <w:pPr>
      <w:ind w:left="720"/>
      <w:contextualSpacing/>
    </w:pPr>
  </w:style>
  <w:style w:type="character" w:styleId="IntenseEmphasis">
    <w:name w:val="Intense Emphasis"/>
    <w:basedOn w:val="DefaultParagraphFont"/>
    <w:uiPriority w:val="21"/>
    <w:qFormat/>
    <w:rsid w:val="00B719A2"/>
    <w:rPr>
      <w:i/>
      <w:iCs/>
      <w:color w:val="0F4761" w:themeColor="accent1" w:themeShade="BF"/>
    </w:rPr>
  </w:style>
  <w:style w:type="paragraph" w:styleId="IntenseQuote">
    <w:name w:val="Intense Quote"/>
    <w:basedOn w:val="Normal"/>
    <w:next w:val="Normal"/>
    <w:link w:val="IntenseQuoteChar"/>
    <w:uiPriority w:val="30"/>
    <w:qFormat/>
    <w:rsid w:val="00B71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9A2"/>
    <w:rPr>
      <w:i/>
      <w:iCs/>
      <w:color w:val="0F4761" w:themeColor="accent1" w:themeShade="BF"/>
    </w:rPr>
  </w:style>
  <w:style w:type="character" w:styleId="IntenseReference">
    <w:name w:val="Intense Reference"/>
    <w:basedOn w:val="DefaultParagraphFont"/>
    <w:uiPriority w:val="32"/>
    <w:qFormat/>
    <w:rsid w:val="00B71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1908</Words>
  <Characters>15455</Characters>
  <Application>Microsoft Office Word</Application>
  <DocSecurity>0</DocSecurity>
  <Lines>128</Lines>
  <Paragraphs>34</Paragraphs>
  <ScaleCrop>false</ScaleCrop>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2025-12-28T23:31:00Z</dcterms:created>
  <dcterms:modified xsi:type="dcterms:W3CDTF">2025-12-28T23:31:00Z</dcterms:modified>
</cp:coreProperties>
</file>