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BF6D" w14:textId="77777777" w:rsidR="00050E2A" w:rsidRPr="00050E2A" w:rsidRDefault="00050E2A" w:rsidP="00050E2A">
      <w:pPr>
        <w:rPr>
          <w:b/>
          <w:bCs/>
          <w:lang w:val="en-GB"/>
        </w:rPr>
      </w:pPr>
      <w:r w:rsidRPr="00050E2A">
        <w:rPr>
          <w:b/>
          <w:bCs/>
          <w:lang w:val="en-GB"/>
        </w:rPr>
        <w:t xml:space="preserve">Audit Report: </w:t>
      </w:r>
      <w:proofErr w:type="spellStart"/>
      <w:r w:rsidRPr="00050E2A">
        <w:rPr>
          <w:b/>
          <w:bCs/>
          <w:lang w:val="en-GB"/>
        </w:rPr>
        <w:t>TanStack</w:t>
      </w:r>
      <w:proofErr w:type="spellEnd"/>
      <w:r w:rsidRPr="00050E2A">
        <w:rPr>
          <w:b/>
          <w:bCs/>
          <w:lang w:val="en-GB"/>
        </w:rPr>
        <w:t xml:space="preserve"> Start Framework for Serverless-First Applications</w:t>
      </w:r>
    </w:p>
    <w:p w14:paraId="1CA4AB3E" w14:textId="77777777" w:rsidR="00050E2A" w:rsidRPr="00050E2A" w:rsidRDefault="00050E2A" w:rsidP="00050E2A">
      <w:pPr>
        <w:rPr>
          <w:b/>
          <w:bCs/>
        </w:rPr>
      </w:pPr>
      <w:proofErr w:type="spellStart"/>
      <w:r w:rsidRPr="00050E2A">
        <w:rPr>
          <w:b/>
          <w:bCs/>
        </w:rPr>
        <w:t>Route</w:t>
      </w:r>
      <w:proofErr w:type="spellEnd"/>
      <w:r w:rsidRPr="00050E2A">
        <w:rPr>
          <w:b/>
          <w:bCs/>
        </w:rPr>
        <w:t xml:space="preserve"> </w:t>
      </w:r>
      <w:proofErr w:type="spellStart"/>
      <w:r w:rsidRPr="00050E2A">
        <w:rPr>
          <w:b/>
          <w:bCs/>
        </w:rPr>
        <w:t>Protection</w:t>
      </w:r>
      <w:proofErr w:type="spellEnd"/>
      <w:r w:rsidRPr="00050E2A">
        <w:rPr>
          <w:b/>
          <w:bCs/>
        </w:rPr>
        <w:t xml:space="preserve"> &amp; </w:t>
      </w:r>
      <w:proofErr w:type="spellStart"/>
      <w:r w:rsidRPr="00050E2A">
        <w:rPr>
          <w:b/>
          <w:bCs/>
        </w:rPr>
        <w:t>Auth</w:t>
      </w:r>
      <w:proofErr w:type="spellEnd"/>
      <w:r w:rsidRPr="00050E2A">
        <w:rPr>
          <w:b/>
          <w:bCs/>
        </w:rPr>
        <w:t xml:space="preserve"> (</w:t>
      </w:r>
      <w:proofErr w:type="spellStart"/>
      <w:r w:rsidRPr="00050E2A">
        <w:rPr>
          <w:b/>
          <w:bCs/>
        </w:rPr>
        <w:t>Router</w:t>
      </w:r>
      <w:proofErr w:type="spellEnd"/>
      <w:r w:rsidRPr="00050E2A">
        <w:rPr>
          <w:b/>
          <w:bCs/>
        </w:rPr>
        <w:t>)</w:t>
      </w:r>
    </w:p>
    <w:p w14:paraId="744A198D" w14:textId="77777777" w:rsidR="00050E2A" w:rsidRPr="00050E2A" w:rsidRDefault="00050E2A" w:rsidP="00050E2A">
      <w:pPr>
        <w:numPr>
          <w:ilvl w:val="0"/>
          <w:numId w:val="1"/>
        </w:numPr>
        <w:rPr>
          <w:lang w:val="en-GB"/>
        </w:rPr>
      </w:pPr>
      <w:r w:rsidRPr="00050E2A">
        <w:rPr>
          <w:b/>
          <w:bCs/>
          <w:lang w:val="en-GB"/>
        </w:rPr>
        <w:t>Isomorphic Auth:</w:t>
      </w:r>
      <w:r w:rsidRPr="00050E2A">
        <w:rPr>
          <w:lang w:val="en-GB"/>
        </w:rPr>
        <w:t xml:space="preserve"> Synchronization between server and client occurs through the </w:t>
      </w:r>
      <w:proofErr w:type="spellStart"/>
      <w:r w:rsidRPr="00050E2A">
        <w:rPr>
          <w:lang w:val="en-GB"/>
        </w:rPr>
        <w:t>beforeLoad</w:t>
      </w:r>
      <w:proofErr w:type="spellEnd"/>
      <w:r w:rsidRPr="00050E2A">
        <w:rPr>
          <w:lang w:val="en-GB"/>
        </w:rPr>
        <w:t xml:space="preserve"> hook, which can call server functions that securely verify authentication state on the server before a route is rendered. This pattern allows the server to extract session information from HTTP-only cookies and provide user context to the entire application tree.</w:t>
      </w:r>
    </w:p>
    <w:p w14:paraId="59C3209F" w14:textId="77777777" w:rsidR="00050E2A" w:rsidRPr="00050E2A" w:rsidRDefault="00050E2A" w:rsidP="00050E2A">
      <w:pPr>
        <w:numPr>
          <w:ilvl w:val="0"/>
          <w:numId w:val="1"/>
        </w:numPr>
        <w:rPr>
          <w:lang w:val="en-GB"/>
        </w:rPr>
      </w:pPr>
      <w:r w:rsidRPr="00050E2A">
        <w:rPr>
          <w:b/>
          <w:bCs/>
          <w:lang w:val="en-GB"/>
        </w:rPr>
        <w:t>Redirect Logic:</w:t>
      </w:r>
      <w:r w:rsidRPr="00050E2A">
        <w:rPr>
          <w:lang w:val="en-GB"/>
        </w:rPr>
        <w:t xml:space="preserve"> The framework supports </w:t>
      </w:r>
      <w:r w:rsidRPr="00050E2A">
        <w:rPr>
          <w:b/>
          <w:bCs/>
          <w:lang w:val="en-GB"/>
        </w:rPr>
        <w:t>"Throwing Redirects"</w:t>
      </w:r>
      <w:r w:rsidRPr="00050E2A">
        <w:rPr>
          <w:lang w:val="en-GB"/>
        </w:rPr>
        <w:t xml:space="preserve"> directly from loaders and </w:t>
      </w:r>
      <w:proofErr w:type="spellStart"/>
      <w:r w:rsidRPr="00050E2A">
        <w:rPr>
          <w:lang w:val="en-GB"/>
        </w:rPr>
        <w:t>beforeLoad</w:t>
      </w:r>
      <w:proofErr w:type="spellEnd"/>
      <w:r w:rsidRPr="00050E2A">
        <w:rPr>
          <w:lang w:val="en-GB"/>
        </w:rPr>
        <w:t xml:space="preserve"> hooks. This mechanism prevents unauthorized data fetching by interrupting the navigation lifecycle and redirecting the user before sensitive logic executes.</w:t>
      </w:r>
    </w:p>
    <w:p w14:paraId="2DC74AE8" w14:textId="77777777" w:rsidR="00050E2A" w:rsidRPr="00050E2A" w:rsidRDefault="00050E2A" w:rsidP="00050E2A">
      <w:pPr>
        <w:numPr>
          <w:ilvl w:val="0"/>
          <w:numId w:val="1"/>
        </w:numPr>
        <w:rPr>
          <w:lang w:val="en-GB"/>
        </w:rPr>
      </w:pPr>
      <w:r w:rsidRPr="00050E2A">
        <w:rPr>
          <w:b/>
          <w:bCs/>
          <w:lang w:val="en-GB"/>
        </w:rPr>
        <w:t>Context Passing:</w:t>
      </w:r>
      <w:r w:rsidRPr="00050E2A">
        <w:rPr>
          <w:lang w:val="en-GB"/>
        </w:rPr>
        <w:t xml:space="preserve"> Auth state is typically initialized in the __root.tsx layout using createRootRouteWithContext. This state is then made available throughout the application tree, where child routes and components access it via Route.useRouteContext().</w:t>
      </w:r>
    </w:p>
    <w:p w14:paraId="51916346" w14:textId="77777777" w:rsidR="00050E2A" w:rsidRPr="00050E2A" w:rsidRDefault="00050E2A" w:rsidP="00050E2A">
      <w:pPr>
        <w:rPr>
          <w:b/>
          <w:bCs/>
          <w:lang w:val="en-GB"/>
        </w:rPr>
      </w:pPr>
      <w:r w:rsidRPr="00050E2A">
        <w:rPr>
          <w:b/>
          <w:bCs/>
          <w:lang w:val="en-GB"/>
        </w:rPr>
        <w:t>Data Fetching &amp; Mutations (Query/Start)</w:t>
      </w:r>
    </w:p>
    <w:p w14:paraId="519A48B9" w14:textId="77777777" w:rsidR="00050E2A" w:rsidRPr="00050E2A" w:rsidRDefault="00050E2A" w:rsidP="00050E2A">
      <w:pPr>
        <w:numPr>
          <w:ilvl w:val="0"/>
          <w:numId w:val="2"/>
        </w:numPr>
        <w:rPr>
          <w:lang w:val="en-GB"/>
        </w:rPr>
      </w:pPr>
      <w:r w:rsidRPr="00050E2A">
        <w:rPr>
          <w:b/>
          <w:bCs/>
          <w:lang w:val="en-GB"/>
        </w:rPr>
        <w:t>Server Functions &amp; Secrets:</w:t>
      </w:r>
      <w:r w:rsidRPr="00050E2A">
        <w:rPr>
          <w:lang w:val="en-GB"/>
        </w:rPr>
        <w:t xml:space="preserve"> createServerFn() calls execute exclusively on the server, providing safe access to sensitive database secrets and API keys via process.env. Because these variables lack the VITE_ prefix, they are </w:t>
      </w:r>
      <w:r w:rsidRPr="00050E2A">
        <w:rPr>
          <w:b/>
          <w:bCs/>
          <w:lang w:val="en-GB"/>
        </w:rPr>
        <w:t>never exposed to the client-side bundle</w:t>
      </w:r>
      <w:r w:rsidRPr="00050E2A">
        <w:rPr>
          <w:lang w:val="en-GB"/>
        </w:rPr>
        <w:t>, ensuring that Supabase Service Role Keys or other private credentials remain secure.</w:t>
      </w:r>
    </w:p>
    <w:p w14:paraId="26E4C84F" w14:textId="77777777" w:rsidR="00050E2A" w:rsidRPr="00050E2A" w:rsidRDefault="00050E2A" w:rsidP="00050E2A">
      <w:pPr>
        <w:numPr>
          <w:ilvl w:val="0"/>
          <w:numId w:val="2"/>
        </w:numPr>
        <w:rPr>
          <w:lang w:val="en-GB"/>
        </w:rPr>
      </w:pPr>
      <w:r w:rsidRPr="00050E2A">
        <w:rPr>
          <w:b/>
          <w:bCs/>
          <w:lang w:val="en-GB"/>
        </w:rPr>
        <w:t>Prefetching:</w:t>
      </w:r>
      <w:r w:rsidRPr="00050E2A">
        <w:rPr>
          <w:lang w:val="en-GB"/>
        </w:rPr>
        <w:t xml:space="preserve"> TanStack Start utilizes TanStack Router's built-in capability to prefetch data for a route automatically. This can be triggered by user actions such as </w:t>
      </w:r>
      <w:r w:rsidRPr="00050E2A">
        <w:rPr>
          <w:b/>
          <w:bCs/>
          <w:lang w:val="en-GB"/>
        </w:rPr>
        <w:t>hovering over a link</w:t>
      </w:r>
      <w:r w:rsidRPr="00050E2A">
        <w:rPr>
          <w:lang w:val="en-GB"/>
        </w:rPr>
        <w:t>, ensuring that data is already cached and available by the time navigation occurs.</w:t>
      </w:r>
    </w:p>
    <w:p w14:paraId="31E55624" w14:textId="77777777" w:rsidR="00050E2A" w:rsidRPr="00050E2A" w:rsidRDefault="00050E2A" w:rsidP="00050E2A">
      <w:pPr>
        <w:numPr>
          <w:ilvl w:val="0"/>
          <w:numId w:val="2"/>
        </w:numPr>
        <w:rPr>
          <w:lang w:val="en-GB"/>
        </w:rPr>
      </w:pPr>
      <w:r w:rsidRPr="00050E2A">
        <w:rPr>
          <w:b/>
          <w:bCs/>
          <w:lang w:val="en-GB"/>
        </w:rPr>
        <w:t>Cache Synchronization:</w:t>
      </w:r>
      <w:r w:rsidRPr="00050E2A">
        <w:rPr>
          <w:lang w:val="en-GB"/>
        </w:rPr>
        <w:t xml:space="preserve"> After a mutation occurs within a server function, the client-side cache can be synchronized by calling router.invalidate(). This triggers the router to re-run active loaders and fetch updated data, ensuring the UI reflects the most current server state.</w:t>
      </w:r>
    </w:p>
    <w:p w14:paraId="46267BF1" w14:textId="77777777" w:rsidR="00050E2A" w:rsidRPr="00050E2A" w:rsidRDefault="00050E2A" w:rsidP="00050E2A">
      <w:pPr>
        <w:rPr>
          <w:b/>
          <w:bCs/>
          <w:lang w:val="en-GB"/>
        </w:rPr>
      </w:pPr>
      <w:r w:rsidRPr="00050E2A">
        <w:rPr>
          <w:b/>
          <w:bCs/>
          <w:lang w:val="en-GB"/>
        </w:rPr>
        <w:t>Deployment &amp; Infrastructure (Netlify/Supabase Focus)</w:t>
      </w:r>
    </w:p>
    <w:p w14:paraId="4D6DB6B9" w14:textId="77777777" w:rsidR="00050E2A" w:rsidRPr="00050E2A" w:rsidRDefault="00050E2A" w:rsidP="00050E2A">
      <w:pPr>
        <w:numPr>
          <w:ilvl w:val="0"/>
          <w:numId w:val="3"/>
        </w:numPr>
        <w:rPr>
          <w:lang w:val="en-GB"/>
        </w:rPr>
      </w:pPr>
      <w:r w:rsidRPr="00050E2A">
        <w:rPr>
          <w:b/>
          <w:bCs/>
          <w:lang w:val="en-GB"/>
        </w:rPr>
        <w:t>Edge Functions:</w:t>
      </w:r>
      <w:r w:rsidRPr="00050E2A">
        <w:rPr>
          <w:lang w:val="en-GB"/>
        </w:rPr>
        <w:t xml:space="preserve"> TanStack Start routes can be deployed as serverless functions, and the @netlify/vite-plugin-tanstack-start facilitates deployment to </w:t>
      </w:r>
      <w:r w:rsidRPr="00050E2A">
        <w:rPr>
          <w:b/>
          <w:bCs/>
          <w:lang w:val="en-GB"/>
        </w:rPr>
        <w:t>Netlify’s Edge network</w:t>
      </w:r>
      <w:r w:rsidRPr="00050E2A">
        <w:rPr>
          <w:lang w:val="en-GB"/>
        </w:rPr>
        <w:t>. While server functions can leverage standard Node.js APIs like fs or crypto, developers must ensure these APIs are compatible with the specific edge runtime provided by the hosting partner.</w:t>
      </w:r>
    </w:p>
    <w:p w14:paraId="0507BFD0" w14:textId="77777777" w:rsidR="00050E2A" w:rsidRPr="00050E2A" w:rsidRDefault="00050E2A" w:rsidP="00050E2A">
      <w:pPr>
        <w:numPr>
          <w:ilvl w:val="0"/>
          <w:numId w:val="3"/>
        </w:numPr>
        <w:rPr>
          <w:lang w:val="en-GB"/>
        </w:rPr>
      </w:pPr>
      <w:r w:rsidRPr="00050E2A">
        <w:rPr>
          <w:b/>
          <w:bCs/>
          <w:lang w:val="en-GB"/>
        </w:rPr>
        <w:t>Environment Variables:</w:t>
      </w:r>
      <w:r w:rsidRPr="00050E2A">
        <w:rPr>
          <w:lang w:val="en-GB"/>
        </w:rPr>
        <w:t xml:space="preserve"> Variables are managed through .env files, with .env.local used for local overrides and specialized files like .env.production for deployment. Local development using the Netlify Vite plugin </w:t>
      </w:r>
      <w:r w:rsidRPr="00050E2A">
        <w:rPr>
          <w:b/>
          <w:bCs/>
          <w:lang w:val="en-GB"/>
        </w:rPr>
        <w:t>emulates production environment variables</w:t>
      </w:r>
      <w:r w:rsidRPr="00050E2A">
        <w:rPr>
          <w:lang w:val="en-GB"/>
        </w:rPr>
        <w:t>, including auto-configuration for tools like AI Gateway.</w:t>
      </w:r>
    </w:p>
    <w:p w14:paraId="1556318F" w14:textId="77777777" w:rsidR="00050E2A" w:rsidRPr="00050E2A" w:rsidRDefault="00050E2A" w:rsidP="00050E2A">
      <w:pPr>
        <w:numPr>
          <w:ilvl w:val="0"/>
          <w:numId w:val="3"/>
        </w:numPr>
        <w:rPr>
          <w:lang w:val="en-GB"/>
        </w:rPr>
      </w:pPr>
      <w:r w:rsidRPr="00050E2A">
        <w:rPr>
          <w:b/>
          <w:bCs/>
          <w:lang w:val="en-GB"/>
        </w:rPr>
        <w:t>SSR Hydration:</w:t>
      </w:r>
      <w:r w:rsidRPr="00050E2A">
        <w:rPr>
          <w:lang w:val="en-GB"/>
        </w:rPr>
        <w:t xml:space="preserve"> The framework prevents "flickers" on load by serializing loader data on the server and injecting it into the HTML stream. Upon arrival at the client, this data is </w:t>
      </w:r>
      <w:r w:rsidRPr="00050E2A">
        <w:rPr>
          <w:lang w:val="en-GB"/>
        </w:rPr>
        <w:lastRenderedPageBreak/>
        <w:t>automatically rehydrated, allowing the UI to render in its final state immediately without needing additional client-side network requests for the initial paint.</w:t>
      </w:r>
    </w:p>
    <w:p w14:paraId="26B7E7C2" w14:textId="77777777" w:rsidR="00050E2A" w:rsidRPr="00050E2A" w:rsidRDefault="00050E2A" w:rsidP="00050E2A">
      <w:pPr>
        <w:rPr>
          <w:b/>
          <w:bCs/>
        </w:rPr>
      </w:pPr>
      <w:r w:rsidRPr="00050E2A">
        <w:rPr>
          <w:b/>
          <w:bCs/>
        </w:rPr>
        <w:t xml:space="preserve">Developer </w:t>
      </w:r>
      <w:proofErr w:type="spellStart"/>
      <w:r w:rsidRPr="00050E2A">
        <w:rPr>
          <w:b/>
          <w:bCs/>
        </w:rPr>
        <w:t>Experience</w:t>
      </w:r>
      <w:proofErr w:type="spellEnd"/>
      <w:r w:rsidRPr="00050E2A">
        <w:rPr>
          <w:b/>
          <w:bCs/>
        </w:rPr>
        <w:t xml:space="preserve"> &amp; </w:t>
      </w:r>
      <w:proofErr w:type="spellStart"/>
      <w:r w:rsidRPr="00050E2A">
        <w:rPr>
          <w:b/>
          <w:bCs/>
        </w:rPr>
        <w:t>Safety</w:t>
      </w:r>
      <w:proofErr w:type="spellEnd"/>
    </w:p>
    <w:p w14:paraId="7842C8C7" w14:textId="77777777" w:rsidR="00050E2A" w:rsidRPr="00050E2A" w:rsidRDefault="00050E2A" w:rsidP="00050E2A">
      <w:pPr>
        <w:numPr>
          <w:ilvl w:val="0"/>
          <w:numId w:val="4"/>
        </w:numPr>
        <w:rPr>
          <w:lang w:val="en-GB"/>
        </w:rPr>
      </w:pPr>
      <w:r w:rsidRPr="00050E2A">
        <w:rPr>
          <w:b/>
          <w:bCs/>
          <w:lang w:val="en-GB"/>
        </w:rPr>
        <w:t>End-to-End Type Safety:</w:t>
      </w:r>
      <w:r w:rsidRPr="00050E2A">
        <w:rPr>
          <w:lang w:val="en-GB"/>
        </w:rPr>
        <w:t xml:space="preserve"> The framework maintains a </w:t>
      </w:r>
      <w:r w:rsidRPr="00050E2A">
        <w:rPr>
          <w:b/>
          <w:bCs/>
          <w:lang w:val="en-GB"/>
        </w:rPr>
        <w:t xml:space="preserve">generated </w:t>
      </w:r>
      <w:proofErr w:type="spellStart"/>
      <w:r w:rsidRPr="00050E2A">
        <w:rPr>
          <w:b/>
          <w:bCs/>
          <w:lang w:val="en-GB"/>
        </w:rPr>
        <w:t>routeTree.gen.ts</w:t>
      </w:r>
      <w:proofErr w:type="spellEnd"/>
      <w:r w:rsidRPr="00050E2A">
        <w:rPr>
          <w:b/>
          <w:bCs/>
          <w:lang w:val="en-GB"/>
        </w:rPr>
        <w:t xml:space="preserve"> file</w:t>
      </w:r>
      <w:r w:rsidRPr="00050E2A">
        <w:rPr>
          <w:lang w:val="en-GB"/>
        </w:rPr>
        <w:t xml:space="preserve"> that maps the entire route hierarchy. This ensures full TypeScript inference across the stack, and because paths are automatically managed by the CLI or plugin, "broken links" are caught during the build process or CI/CD.</w:t>
      </w:r>
    </w:p>
    <w:p w14:paraId="351D6930" w14:textId="77777777" w:rsidR="00050E2A" w:rsidRPr="00050E2A" w:rsidRDefault="00050E2A" w:rsidP="00050E2A">
      <w:pPr>
        <w:numPr>
          <w:ilvl w:val="0"/>
          <w:numId w:val="4"/>
        </w:numPr>
        <w:rPr>
          <w:lang w:val="en-GB"/>
        </w:rPr>
      </w:pPr>
      <w:proofErr w:type="spellStart"/>
      <w:r w:rsidRPr="00050E2A">
        <w:rPr>
          <w:b/>
          <w:bCs/>
          <w:lang w:val="en-GB"/>
        </w:rPr>
        <w:t>TanStack</w:t>
      </w:r>
      <w:proofErr w:type="spellEnd"/>
      <w:r w:rsidRPr="00050E2A">
        <w:rPr>
          <w:b/>
          <w:bCs/>
          <w:lang w:val="en-GB"/>
        </w:rPr>
        <w:t xml:space="preserve"> </w:t>
      </w:r>
      <w:proofErr w:type="spellStart"/>
      <w:r w:rsidRPr="00050E2A">
        <w:rPr>
          <w:b/>
          <w:bCs/>
          <w:lang w:val="en-GB"/>
        </w:rPr>
        <w:t>DevTools</w:t>
      </w:r>
      <w:proofErr w:type="spellEnd"/>
      <w:r w:rsidRPr="00050E2A">
        <w:rPr>
          <w:b/>
          <w:bCs/>
          <w:lang w:val="en-GB"/>
        </w:rPr>
        <w:t>:</w:t>
      </w:r>
      <w:r w:rsidRPr="00050E2A">
        <w:rPr>
          <w:lang w:val="en-GB"/>
        </w:rPr>
        <w:t xml:space="preserve"> The specialized </w:t>
      </w:r>
      <w:proofErr w:type="spellStart"/>
      <w:r w:rsidRPr="00050E2A">
        <w:rPr>
          <w:lang w:val="en-GB"/>
        </w:rPr>
        <w:t>DevTools</w:t>
      </w:r>
      <w:proofErr w:type="spellEnd"/>
      <w:r w:rsidRPr="00050E2A">
        <w:rPr>
          <w:lang w:val="en-GB"/>
        </w:rPr>
        <w:t xml:space="preserve"> provide high-level visibility into the router's state and internal data flow. This includes monitoring for </w:t>
      </w:r>
      <w:r w:rsidRPr="00050E2A">
        <w:rPr>
          <w:b/>
          <w:bCs/>
          <w:lang w:val="en-GB"/>
        </w:rPr>
        <w:t>server functions and route matching</w:t>
      </w:r>
      <w:r w:rsidRPr="00050E2A">
        <w:rPr>
          <w:lang w:val="en-GB"/>
        </w:rPr>
        <w:t>, which assists in debugging complex state synchronization between the client and server.</w:t>
      </w:r>
    </w:p>
    <w:p w14:paraId="445929AF" w14:textId="77777777" w:rsidR="00050E2A" w:rsidRPr="00050E2A" w:rsidRDefault="00050E2A" w:rsidP="00050E2A">
      <w:r w:rsidRPr="00050E2A">
        <w:pict w14:anchorId="1731514D">
          <v:rect id="_x0000_i1031" style="width:0;height:1.5pt" o:hralign="center" o:hrstd="t" o:hr="t" fillcolor="#a0a0a0" stroked="f"/>
        </w:pict>
      </w:r>
    </w:p>
    <w:p w14:paraId="2BA0F0D9" w14:textId="77777777" w:rsidR="00050E2A" w:rsidRPr="00050E2A" w:rsidRDefault="00050E2A" w:rsidP="00050E2A">
      <w:pPr>
        <w:rPr>
          <w:b/>
          <w:bCs/>
        </w:rPr>
      </w:pPr>
      <w:r w:rsidRPr="00050E2A">
        <w:rPr>
          <w:b/>
          <w:bCs/>
        </w:rPr>
        <w:t xml:space="preserve">Deployment Readiness </w:t>
      </w:r>
      <w:proofErr w:type="spellStart"/>
      <w:r w:rsidRPr="00050E2A">
        <w:rPr>
          <w:b/>
          <w:bCs/>
        </w:rPr>
        <w:t>Checklist</w:t>
      </w:r>
      <w:proofErr w:type="spellEnd"/>
    </w:p>
    <w:p w14:paraId="5844793E"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Module Configuration:</w:t>
      </w:r>
      <w:r w:rsidRPr="00050E2A">
        <w:rPr>
          <w:lang w:val="en-GB"/>
        </w:rPr>
        <w:t xml:space="preserve"> Ensure "type": "module" is set in </w:t>
      </w:r>
      <w:proofErr w:type="spellStart"/>
      <w:r w:rsidRPr="00050E2A">
        <w:rPr>
          <w:lang w:val="en-GB"/>
        </w:rPr>
        <w:t>package.json</w:t>
      </w:r>
      <w:proofErr w:type="spellEnd"/>
      <w:r w:rsidRPr="00050E2A">
        <w:rPr>
          <w:lang w:val="en-GB"/>
        </w:rPr>
        <w:t xml:space="preserve"> for proper Vite </w:t>
      </w:r>
      <w:proofErr w:type="spellStart"/>
      <w:r w:rsidRPr="00050E2A">
        <w:rPr>
          <w:lang w:val="en-GB"/>
        </w:rPr>
        <w:t>transpilation</w:t>
      </w:r>
      <w:proofErr w:type="spellEnd"/>
      <w:r w:rsidRPr="00050E2A">
        <w:rPr>
          <w:lang w:val="en-GB"/>
        </w:rPr>
        <w:t>.</w:t>
      </w:r>
    </w:p>
    <w:p w14:paraId="55EC1324"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Hosting Plugin:</w:t>
      </w:r>
      <w:r w:rsidRPr="00050E2A">
        <w:rPr>
          <w:lang w:val="en-GB"/>
        </w:rPr>
        <w:t xml:space="preserve"> Install and configure the appropriate deployment adapter (e.g., @netlify/vite-plugin-tanstack-start for Netlify or nitro() for </w:t>
      </w:r>
      <w:proofErr w:type="spellStart"/>
      <w:r w:rsidRPr="00050E2A">
        <w:rPr>
          <w:lang w:val="en-GB"/>
        </w:rPr>
        <w:t>Vercel</w:t>
      </w:r>
      <w:proofErr w:type="spellEnd"/>
      <w:r w:rsidRPr="00050E2A">
        <w:rPr>
          <w:lang w:val="en-GB"/>
        </w:rPr>
        <w:t xml:space="preserve">/AWS) in </w:t>
      </w:r>
      <w:proofErr w:type="spellStart"/>
      <w:r w:rsidRPr="00050E2A">
        <w:rPr>
          <w:lang w:val="en-GB"/>
        </w:rPr>
        <w:t>vite.config.ts</w:t>
      </w:r>
      <w:proofErr w:type="spellEnd"/>
      <w:r w:rsidRPr="00050E2A">
        <w:rPr>
          <w:lang w:val="en-GB"/>
        </w:rPr>
        <w:t>.</w:t>
      </w:r>
    </w:p>
    <w:p w14:paraId="5CA74131"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Secret Boundary Check:</w:t>
      </w:r>
      <w:r w:rsidRPr="00050E2A">
        <w:rPr>
          <w:lang w:val="en-GB"/>
        </w:rPr>
        <w:t xml:space="preserve"> Verify that all sensitive keys (</w:t>
      </w:r>
      <w:proofErr w:type="spellStart"/>
      <w:r w:rsidRPr="00050E2A">
        <w:rPr>
          <w:lang w:val="en-GB"/>
        </w:rPr>
        <w:t>Supabase</w:t>
      </w:r>
      <w:proofErr w:type="spellEnd"/>
      <w:r w:rsidRPr="00050E2A">
        <w:rPr>
          <w:lang w:val="en-GB"/>
        </w:rPr>
        <w:t xml:space="preserve"> Service Role, DB URLs) </w:t>
      </w:r>
      <w:r w:rsidRPr="00050E2A">
        <w:rPr>
          <w:b/>
          <w:bCs/>
          <w:lang w:val="en-GB"/>
        </w:rPr>
        <w:t>do not have the VITE_ prefix</w:t>
      </w:r>
      <w:r w:rsidRPr="00050E2A">
        <w:rPr>
          <w:lang w:val="en-GB"/>
        </w:rPr>
        <w:t xml:space="preserve"> and are accessed only within server functions.</w:t>
      </w:r>
    </w:p>
    <w:p w14:paraId="177CCAF9"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Production Vars:</w:t>
      </w:r>
      <w:r w:rsidRPr="00050E2A">
        <w:rPr>
          <w:lang w:val="en-GB"/>
        </w:rPr>
        <w:t xml:space="preserve"> Configure all required environment variables within the hosting provider's dashboard (Netlify/</w:t>
      </w:r>
      <w:proofErr w:type="spellStart"/>
      <w:r w:rsidRPr="00050E2A">
        <w:rPr>
          <w:lang w:val="en-GB"/>
        </w:rPr>
        <w:t>Vercel</w:t>
      </w:r>
      <w:proofErr w:type="spellEnd"/>
      <w:r w:rsidRPr="00050E2A">
        <w:rPr>
          <w:lang w:val="en-GB"/>
        </w:rPr>
        <w:t>) to match the local .env setup.</w:t>
      </w:r>
    </w:p>
    <w:p w14:paraId="29836197"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Build Output Verification:</w:t>
      </w:r>
      <w:r w:rsidRPr="00050E2A">
        <w:rPr>
          <w:lang w:val="en-GB"/>
        </w:rPr>
        <w:t xml:space="preserve"> For </w:t>
      </w:r>
      <w:proofErr w:type="spellStart"/>
      <w:r w:rsidRPr="00050E2A">
        <w:rPr>
          <w:lang w:val="en-GB"/>
        </w:rPr>
        <w:t>monorepo</w:t>
      </w:r>
      <w:proofErr w:type="spellEnd"/>
      <w:r w:rsidRPr="00050E2A">
        <w:rPr>
          <w:lang w:val="en-GB"/>
        </w:rPr>
        <w:t xml:space="preserve"> or </w:t>
      </w:r>
      <w:proofErr w:type="spellStart"/>
      <w:r w:rsidRPr="00050E2A">
        <w:rPr>
          <w:lang w:val="en-GB"/>
        </w:rPr>
        <w:t>Turborepo</w:t>
      </w:r>
      <w:proofErr w:type="spellEnd"/>
      <w:r w:rsidRPr="00050E2A">
        <w:rPr>
          <w:lang w:val="en-GB"/>
        </w:rPr>
        <w:t xml:space="preserve"> setups, confirm that Nitro is outputting to the correct .output or .</w:t>
      </w:r>
      <w:proofErr w:type="spellStart"/>
      <w:r w:rsidRPr="00050E2A">
        <w:rPr>
          <w:lang w:val="en-GB"/>
        </w:rPr>
        <w:t>vercel</w:t>
      </w:r>
      <w:proofErr w:type="spellEnd"/>
      <w:r w:rsidRPr="00050E2A">
        <w:rPr>
          <w:lang w:val="en-GB"/>
        </w:rPr>
        <w:t>/output directory to avoid 404 errors.</w:t>
      </w:r>
    </w:p>
    <w:p w14:paraId="30439B00"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SSR Utilities:</w:t>
      </w:r>
      <w:r w:rsidRPr="00050E2A">
        <w:rPr>
          <w:lang w:val="en-GB"/>
        </w:rPr>
        <w:t xml:space="preserve"> Ensure </w:t>
      </w:r>
      <w:proofErr w:type="spellStart"/>
      <w:r w:rsidRPr="00050E2A">
        <w:rPr>
          <w:lang w:val="en-GB"/>
        </w:rPr>
        <w:t>createStartHandler</w:t>
      </w:r>
      <w:proofErr w:type="spellEnd"/>
      <w:r w:rsidRPr="00050E2A">
        <w:rPr>
          <w:lang w:val="en-GB"/>
        </w:rPr>
        <w:t xml:space="preserve"> and </w:t>
      </w:r>
      <w:proofErr w:type="spellStart"/>
      <w:r w:rsidRPr="00050E2A">
        <w:rPr>
          <w:lang w:val="en-GB"/>
        </w:rPr>
        <w:t>defaultStreamHandler</w:t>
      </w:r>
      <w:proofErr w:type="spellEnd"/>
      <w:r w:rsidRPr="00050E2A">
        <w:rPr>
          <w:lang w:val="en-GB"/>
        </w:rPr>
        <w:t xml:space="preserve"> are correctly implemented in the server entry point for proper streaming and hydration.</w:t>
      </w:r>
    </w:p>
    <w:p w14:paraId="2C9E0ADF"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Database Security:</w:t>
      </w:r>
      <w:r w:rsidRPr="00050E2A">
        <w:rPr>
          <w:lang w:val="en-GB"/>
        </w:rPr>
        <w:t xml:space="preserve"> Confirm that </w:t>
      </w:r>
      <w:r w:rsidRPr="00050E2A">
        <w:rPr>
          <w:b/>
          <w:bCs/>
          <w:lang w:val="en-GB"/>
        </w:rPr>
        <w:t>Row Level Security (RLS)</w:t>
      </w:r>
      <w:r w:rsidRPr="00050E2A">
        <w:rPr>
          <w:lang w:val="en-GB"/>
        </w:rPr>
        <w:t xml:space="preserve"> is enabled in </w:t>
      </w:r>
      <w:proofErr w:type="spellStart"/>
      <w:r w:rsidRPr="00050E2A">
        <w:rPr>
          <w:lang w:val="en-GB"/>
        </w:rPr>
        <w:t>Supabase</w:t>
      </w:r>
      <w:proofErr w:type="spellEnd"/>
      <w:r w:rsidRPr="00050E2A">
        <w:rPr>
          <w:lang w:val="en-GB"/>
        </w:rPr>
        <w:t xml:space="preserve"> and that policies correctly reference </w:t>
      </w:r>
      <w:proofErr w:type="spellStart"/>
      <w:r w:rsidRPr="00050E2A">
        <w:rPr>
          <w:lang w:val="en-GB"/>
        </w:rPr>
        <w:t>auth.jwt</w:t>
      </w:r>
      <w:proofErr w:type="spellEnd"/>
      <w:r w:rsidRPr="00050E2A">
        <w:rPr>
          <w:lang w:val="en-GB"/>
        </w:rPr>
        <w:t>() for user-level isolation.</w:t>
      </w:r>
    </w:p>
    <w:p w14:paraId="4613C582" w14:textId="77777777" w:rsidR="00050E2A" w:rsidRPr="00050E2A" w:rsidRDefault="00050E2A" w:rsidP="00050E2A">
      <w:pPr>
        <w:numPr>
          <w:ilvl w:val="0"/>
          <w:numId w:val="5"/>
        </w:numPr>
        <w:rPr>
          <w:lang w:val="en-GB"/>
        </w:rPr>
      </w:pPr>
      <w:r w:rsidRPr="00050E2A">
        <w:rPr>
          <w:lang w:val="en-GB"/>
        </w:rPr>
        <w:t xml:space="preserve">[ ] </w:t>
      </w:r>
      <w:r w:rsidRPr="00050E2A">
        <w:rPr>
          <w:b/>
          <w:bCs/>
          <w:lang w:val="en-GB"/>
        </w:rPr>
        <w:t>TS Configuration:</w:t>
      </w:r>
      <w:r w:rsidRPr="00050E2A">
        <w:rPr>
          <w:lang w:val="en-GB"/>
        </w:rPr>
        <w:t xml:space="preserve"> Disable </w:t>
      </w:r>
      <w:proofErr w:type="spellStart"/>
      <w:r w:rsidRPr="00050E2A">
        <w:rPr>
          <w:lang w:val="en-GB"/>
        </w:rPr>
        <w:t>verbatimModuleSyntax</w:t>
      </w:r>
      <w:proofErr w:type="spellEnd"/>
      <w:r w:rsidRPr="00050E2A">
        <w:rPr>
          <w:lang w:val="en-GB"/>
        </w:rPr>
        <w:t xml:space="preserve"> in </w:t>
      </w:r>
      <w:proofErr w:type="spellStart"/>
      <w:r w:rsidRPr="00050E2A">
        <w:rPr>
          <w:lang w:val="en-GB"/>
        </w:rPr>
        <w:t>tsconfig.json</w:t>
      </w:r>
      <w:proofErr w:type="spellEnd"/>
      <w:r w:rsidRPr="00050E2A">
        <w:rPr>
          <w:lang w:val="en-GB"/>
        </w:rPr>
        <w:t xml:space="preserve"> to prevent server-side code from leaking into client bundles.</w:t>
      </w:r>
    </w:p>
    <w:p w14:paraId="1ADE8F27" w14:textId="77777777" w:rsidR="009657B4" w:rsidRPr="00050E2A" w:rsidRDefault="009657B4">
      <w:pPr>
        <w:rPr>
          <w:lang w:val="en-GB"/>
        </w:rPr>
      </w:pPr>
    </w:p>
    <w:sectPr w:rsidR="009657B4" w:rsidRPr="00050E2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202"/>
    <w:multiLevelType w:val="multilevel"/>
    <w:tmpl w:val="EF4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72EB3"/>
    <w:multiLevelType w:val="multilevel"/>
    <w:tmpl w:val="84C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D740A"/>
    <w:multiLevelType w:val="multilevel"/>
    <w:tmpl w:val="D342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C1DF7"/>
    <w:multiLevelType w:val="multilevel"/>
    <w:tmpl w:val="85E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51985"/>
    <w:multiLevelType w:val="multilevel"/>
    <w:tmpl w:val="7F7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833842">
    <w:abstractNumId w:val="4"/>
  </w:num>
  <w:num w:numId="2" w16cid:durableId="332877882">
    <w:abstractNumId w:val="1"/>
  </w:num>
  <w:num w:numId="3" w16cid:durableId="689259727">
    <w:abstractNumId w:val="0"/>
  </w:num>
  <w:num w:numId="4" w16cid:durableId="590504805">
    <w:abstractNumId w:val="3"/>
  </w:num>
  <w:num w:numId="5" w16cid:durableId="1885218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2A"/>
    <w:rsid w:val="00050E2A"/>
    <w:rsid w:val="001A292C"/>
    <w:rsid w:val="002D328D"/>
    <w:rsid w:val="005D616B"/>
    <w:rsid w:val="00601E6B"/>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0EBC"/>
  <w15:chartTrackingRefBased/>
  <w15:docId w15:val="{242FA846-F50C-4492-92B6-128F9A07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E2A"/>
    <w:rPr>
      <w:rFonts w:eastAsiaTheme="majorEastAsia" w:cstheme="majorBidi"/>
      <w:color w:val="272727" w:themeColor="text1" w:themeTint="D8"/>
    </w:rPr>
  </w:style>
  <w:style w:type="paragraph" w:styleId="Title">
    <w:name w:val="Title"/>
    <w:basedOn w:val="Normal"/>
    <w:next w:val="Normal"/>
    <w:link w:val="TitleChar"/>
    <w:uiPriority w:val="10"/>
    <w:qFormat/>
    <w:rsid w:val="0005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E2A"/>
    <w:pPr>
      <w:spacing w:before="160"/>
      <w:jc w:val="center"/>
    </w:pPr>
    <w:rPr>
      <w:i/>
      <w:iCs/>
      <w:color w:val="404040" w:themeColor="text1" w:themeTint="BF"/>
    </w:rPr>
  </w:style>
  <w:style w:type="character" w:customStyle="1" w:styleId="QuoteChar">
    <w:name w:val="Quote Char"/>
    <w:basedOn w:val="DefaultParagraphFont"/>
    <w:link w:val="Quote"/>
    <w:uiPriority w:val="29"/>
    <w:rsid w:val="00050E2A"/>
    <w:rPr>
      <w:i/>
      <w:iCs/>
      <w:color w:val="404040" w:themeColor="text1" w:themeTint="BF"/>
    </w:rPr>
  </w:style>
  <w:style w:type="paragraph" w:styleId="ListParagraph">
    <w:name w:val="List Paragraph"/>
    <w:basedOn w:val="Normal"/>
    <w:uiPriority w:val="34"/>
    <w:qFormat/>
    <w:rsid w:val="00050E2A"/>
    <w:pPr>
      <w:ind w:left="720"/>
      <w:contextualSpacing/>
    </w:pPr>
  </w:style>
  <w:style w:type="character" w:styleId="IntenseEmphasis">
    <w:name w:val="Intense Emphasis"/>
    <w:basedOn w:val="DefaultParagraphFont"/>
    <w:uiPriority w:val="21"/>
    <w:qFormat/>
    <w:rsid w:val="00050E2A"/>
    <w:rPr>
      <w:i/>
      <w:iCs/>
      <w:color w:val="0F4761" w:themeColor="accent1" w:themeShade="BF"/>
    </w:rPr>
  </w:style>
  <w:style w:type="paragraph" w:styleId="IntenseQuote">
    <w:name w:val="Intense Quote"/>
    <w:basedOn w:val="Normal"/>
    <w:next w:val="Normal"/>
    <w:link w:val="IntenseQuoteChar"/>
    <w:uiPriority w:val="30"/>
    <w:qFormat/>
    <w:rsid w:val="00050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E2A"/>
    <w:rPr>
      <w:i/>
      <w:iCs/>
      <w:color w:val="0F4761" w:themeColor="accent1" w:themeShade="BF"/>
    </w:rPr>
  </w:style>
  <w:style w:type="character" w:styleId="IntenseReference">
    <w:name w:val="Intense Reference"/>
    <w:basedOn w:val="DefaultParagraphFont"/>
    <w:uiPriority w:val="32"/>
    <w:qFormat/>
    <w:rsid w:val="00050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4302</Characters>
  <Application>Microsoft Office Word</Application>
  <DocSecurity>0</DocSecurity>
  <Lines>35</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2025-12-29T21:49:00Z</dcterms:created>
  <dcterms:modified xsi:type="dcterms:W3CDTF">2025-12-29T21:49:00Z</dcterms:modified>
</cp:coreProperties>
</file>