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sz w:val="60"/>
        </w:rPr>
        <w:t>NOX Na-POD</w:t>
      </w:r>
    </w:p>
    <w:p>
      <w:pPr>
        <w:spacing w:after="100" w:line="259" w:lineRule="auto"/>
        <w:jc w:val="center"/>
      </w:pPr>
      <w:r>
        <w:rPr>
          <w:b/>
          <w:sz w:val="36"/>
        </w:rPr>
        <w:t>Mechanically Constrained Sodium-Ion Drop-In Energy Storage System</w:t>
      </w:r>
    </w:p>
    <w:p>
      <w:pPr>
        <w:spacing w:after="100" w:line="259" w:lineRule="auto"/>
        <w:jc w:val="center"/>
      </w:pPr>
      <w:r>
        <w:rPr>
          <w:b w:val="0"/>
          <w:sz w:val="30"/>
        </w:rPr>
        <w:t>for Residential Inverter Applications</w:t>
      </w:r>
    </w:p>
    <w:p>
      <w:pPr>
        <w:pStyle w:val="FrontLabel"/>
        <w:jc w:val="center"/>
      </w:pPr>
      <w:r>
        <w:rPr>
          <w:b/>
          <w:sz w:val="20"/>
        </w:rPr>
        <w:t>INDEPENDENT ENGINEERING RESEARCH PAPER</w:t>
      </w:r>
    </w:p>
    <w:p>
      <w:pPr>
        <w:spacing w:after="100" w:line="259" w:lineRule="auto"/>
        <w:jc w:val="center"/>
      </w:pPr>
      <w:r>
        <w:rPr>
          <w:b/>
          <w:sz w:val="24"/>
        </w:rPr>
        <w:t>NOX Na-POD Research Program</w:t>
      </w:r>
    </w:p>
    <w:p>
      <w:pPr>
        <w:spacing w:after="100" w:line="259" w:lineRule="auto"/>
        <w:jc w:val="center"/>
      </w:pPr>
      <w:r>
        <w:rPr>
          <w:b/>
          <w:sz w:val="30"/>
        </w:rPr>
        <w:t>Seraladen S</w:t>
      </w:r>
    </w:p>
    <w:p>
      <w:pPr>
        <w:spacing w:after="100" w:line="259" w:lineRule="auto"/>
        <w:jc w:val="center"/>
      </w:pPr>
      <w:r>
        <w:rPr>
          <w:b w:val="0"/>
          <w:sz w:val="22"/>
        </w:rPr>
        <w:t>B.Tech. Artificial Intelligence &amp; Data Science\nJ.J. College of Engineering and Technology, Trichy, Tamil Nadu, India</w:t>
      </w:r>
    </w:p>
    <w:p>
      <w:pPr>
        <w:spacing w:after="100" w:line="259" w:lineRule="auto"/>
        <w:jc w:val="center"/>
      </w:pPr>
      <w:r>
        <w:rPr>
          <w:b w:val="0"/>
          <w:sz w:val="21"/>
        </w:rPr>
        <w:t>Correspondence: Seraladen S  |  NOX Na-POD Research Program</w:t>
      </w:r>
    </w:p>
    <w:p>
      <w:pPr>
        <w:spacing w:after="100" w:line="259" w:lineRule="auto"/>
        <w:jc w:val="center"/>
      </w:pPr>
      <w:r>
        <w:rPr>
          <w:b w:val="0"/>
          <w:sz w:val="21"/>
        </w:rPr>
        <w:t>September 2026  •  Design-stage engineering research</w:t>
      </w:r>
    </w:p>
    <w:p>
      <w:pPr>
        <w:spacing w:after="100" w:line="259" w:lineRule="auto"/>
        <w:jc w:val="center"/>
      </w:pPr>
      <w:r>
        <w:rPr>
          <w:b w:val="0"/>
          <w:sz w:val="20"/>
        </w:rPr>
        <w:t>Self-authored research and system-design manuscript</w:t>
      </w:r>
    </w:p>
    <w:p>
      <w:r>
        <w:br w:type="page"/>
      </w:r>
    </w:p>
    <w:p>
      <w:pPr>
        <w:pStyle w:val="Heading1"/>
        <w:spacing w:before="200" w:after="100"/>
      </w:pPr>
      <w:r>
        <w:rPr>
          <w:b w:val="0"/>
        </w:rPr>
        <w:t>ABOUT THE RESEARCHER</w:t>
      </w:r>
    </w:p>
    <w:p>
      <w:pPr>
        <w:pStyle w:val="Heading2"/>
        <w:spacing w:before="200" w:after="100"/>
      </w:pPr>
      <w:r>
        <w:rPr>
          <w:b w:val="0"/>
        </w:rPr>
        <w:t>Seraladen S</w:t>
      </w:r>
    </w:p>
    <w:p>
      <w:pPr>
        <w:spacing w:after="100" w:line="259" w:lineRule="auto"/>
      </w:pPr>
      <w:r>
        <w:rPr>
          <w:b w:val="0"/>
        </w:rPr>
        <w:t>Seraladen S is an engineering student and independent technology researcher working across artificial intelligence, data systems, robotics, energy technology, and product-oriented engineering. The NOX Na-POD program represents a systems-engineering application of this broader research approach: chemistry, mechanical structure, thermal behavior, embedded monitoring, charging integration, and economics are treated as one connected product rather than as isolated subsystems.</w:t>
      </w:r>
    </w:p>
    <w:p>
      <w:pPr>
        <w:pStyle w:val="Heading2"/>
        <w:spacing w:before="200" w:after="100"/>
      </w:pPr>
      <w:r>
        <w:rPr>
          <w:b w:val="0"/>
        </w:rPr>
        <w:t>Education</w:t>
      </w:r>
    </w:p>
    <w:p>
      <w:pPr>
        <w:spacing w:after="100" w:line="259" w:lineRule="auto"/>
      </w:pPr>
      <w:r>
        <w:rPr>
          <w:b w:val="0"/>
        </w:rPr>
        <w:t>B.Tech. in Artificial Intelligence &amp; Data Science — J.J. College of Engineering and Technology (JJCET), Trichy, Tamil Nadu, India. The academic foundation combines programming, data science, artificial intelligence, analytical methods, and engineering problem-solving. This research extends that foundation into energy-storage system architecture and physical product design.</w:t>
      </w:r>
    </w:p>
    <w:p>
      <w:pPr>
        <w:pStyle w:val="Heading2"/>
        <w:spacing w:before="200" w:after="100"/>
      </w:pPr>
      <w:r>
        <w:rPr>
          <w:b w:val="0"/>
        </w:rPr>
        <w:t>Research orientation</w:t>
      </w:r>
    </w:p>
    <w:p>
      <w:pPr>
        <w:spacing w:after="100" w:line="259" w:lineRule="auto"/>
      </w:pPr>
      <w:r>
        <w:rPr>
          <w:b w:val="0"/>
        </w:rPr>
        <w:t>The research approach used in NOX Na-POD is system-level and implementation-oriented. The objective is not only to select a battery chemistry, but to determine how cells should be mechanically constrained, thermally managed, electronically monitored, protected, and integrated with an existing inverter environment. Design decisions are therefore evaluated together, with explicit attention to manufacturability, safety, service conditions, and economics.</w:t>
      </w:r>
    </w:p>
    <w:p>
      <w:pPr>
        <w:pStyle w:val="Heading2"/>
        <w:spacing w:before="200" w:after="100"/>
      </w:pPr>
      <w:r>
        <w:rPr>
          <w:b w:val="0"/>
        </w:rPr>
        <w:t>Correspondence</w:t>
      </w:r>
    </w:p>
    <w:p>
      <w:pPr>
        <w:spacing w:after="100" w:line="259" w:lineRule="auto"/>
      </w:pPr>
      <w:r>
        <w:rPr>
          <w:b w:val="0"/>
        </w:rPr>
        <w:t>Correspondence regarding the NOX Na-POD research program should be directed to the author, Seraladen S, under the NOX Na-POD Research Program.</w:t>
      </w:r>
    </w:p>
    <w:p>
      <w:r>
        <w:br w:type="page"/>
      </w:r>
    </w:p>
    <w:p>
      <w:pPr>
        <w:pStyle w:val="Heading1"/>
        <w:spacing w:before="200" w:after="100"/>
      </w:pPr>
      <w:r>
        <w:rPr>
          <w:b w:val="0"/>
        </w:rPr>
        <w:t>RESEARCH PROGRAM AND AUTHOR DECLARATION</w:t>
      </w:r>
    </w:p>
    <w:p>
      <w:pPr>
        <w:pStyle w:val="Heading2"/>
        <w:spacing w:before="200" w:after="100"/>
      </w:pPr>
      <w:r>
        <w:rPr>
          <w:b w:val="0"/>
        </w:rPr>
        <w:t>Research scope</w:t>
      </w:r>
    </w:p>
    <w:p>
      <w:pPr>
        <w:spacing w:after="100" w:line="259" w:lineRule="auto"/>
      </w:pPr>
      <w:r>
        <w:rPr>
          <w:b w:val="0"/>
        </w:rPr>
        <w:t>NOX Na-POD is a self-authored engineering research program focused on a mechanically constrained sodium-ion energy-storage pack intended for residential inverter applications. The central design proposition is that a sodium-ion pack should be engineered as a coordinated mechanical, thermal, electrical, and embedded-control system. The work therefore combines a compliant compression architecture, passive thermal management, an improved BMS concept, and an explicit charging-integration boundary within a familiar 12 V battery form factor.</w:t>
      </w:r>
    </w:p>
    <w:p>
      <w:pPr>
        <w:pStyle w:val="Heading2"/>
        <w:spacing w:before="200" w:after="100"/>
      </w:pPr>
      <w:r>
        <w:rPr>
          <w:b w:val="0"/>
        </w:rPr>
        <w:t>Core research contributions</w:t>
      </w:r>
    </w:p>
    <w:p>
      <w:pPr>
        <w:pStyle w:val="ListBullet"/>
      </w:pPr>
      <w:r>
        <w:rPr>
          <w:b w:val="0"/>
        </w:rPr>
        <w:t>Mechanically constrained sodium-ion pack architecture using Belleville spring compliance, tolerance compensation, fiberglass confinement, and SS304 load-spreading plates.</w:t>
      </w:r>
    </w:p>
    <w:p>
      <w:pPr>
        <w:pStyle w:val="ListBullet"/>
      </w:pPr>
      <w:r>
        <w:rPr>
          <w:b w:val="0"/>
        </w:rPr>
        <w:t>Passive thermal-management architecture combining vertical natural-convection channels with phase-change-material buffering.</w:t>
      </w:r>
    </w:p>
    <w:p>
      <w:pPr>
        <w:pStyle w:val="ListBullet"/>
      </w:pPr>
      <w:r>
        <w:rPr>
          <w:b w:val="0"/>
        </w:rPr>
        <w:t>Improved ESP32-based BMS architecture for current, voltage, temperature, impedance-related monitoring, protection logic, SOC estimation, and wireless telemetry.</w:t>
      </w:r>
    </w:p>
    <w:p>
      <w:pPr>
        <w:pStyle w:val="ListBullet"/>
      </w:pPr>
      <w:r>
        <w:rPr>
          <w:b w:val="0"/>
        </w:rPr>
        <w:t>Explicit treatment of inverter charging compatibility rather than assuming that a sodium-ion pack is automatically compatible with every legacy lead-acid charger.</w:t>
      </w:r>
    </w:p>
    <w:p>
      <w:pPr>
        <w:pStyle w:val="ListBullet"/>
      </w:pPr>
      <w:r>
        <w:rPr>
          <w:b w:val="0"/>
        </w:rPr>
        <w:t>Engineering calculations, economic modeling, qualitative risk analysis, and a defined validation pathway for moving from design to measured prototype evidence.</w:t>
      </w:r>
    </w:p>
    <w:p>
      <w:pPr>
        <w:pStyle w:val="Heading2"/>
        <w:spacing w:before="200" w:after="100"/>
      </w:pPr>
      <w:r>
        <w:rPr>
          <w:b w:val="0"/>
        </w:rPr>
        <w:t>Author declaration</w:t>
      </w:r>
    </w:p>
    <w:p>
      <w:pPr>
        <w:spacing w:after="100" w:line="259" w:lineRule="auto"/>
      </w:pPr>
      <w:r>
        <w:rPr>
          <w:b w:val="0"/>
        </w:rPr>
        <w:t>This manuscript is presented as the author’s own engineering research and design work for the NOX Na-POD program. The architecture, system concept, mechanical compliance approach, passive thermal strategy, BMS concept, calculations, economic model, risk analysis, and future validation plan are presented as part of this research program. Quantitative values are explicitly identified as design targets, derived calculations, projections, or validation requirements where appropriate; they are not represented as measured experimental results unless direct measurements are available.</w:t>
      </w:r>
    </w:p>
    <w:p>
      <w:pPr>
        <w:pStyle w:val="Heading2"/>
        <w:spacing w:before="200" w:after="100"/>
      </w:pPr>
      <w:r>
        <w:rPr>
          <w:b w:val="0"/>
        </w:rPr>
        <w:t>Document status</w:t>
      </w:r>
    </w:p>
    <w:p>
      <w:pPr>
        <w:spacing w:after="100" w:line="259" w:lineRule="auto"/>
      </w:pPr>
      <w:r>
        <w:rPr>
          <w:b w:val="0"/>
        </w:rPr>
        <w:t>Design-stage research paper — September 2026. The purpose of this document is to establish the engineering architecture, rationale, design envelope, and validation requirements of NOX Na-POD before full prototype qualification.</w:t>
      </w:r>
    </w:p>
    <w:p>
      <w:r>
        <w:br w:type="page"/>
      </w:r>
    </w:p>
    <w:p>
      <w:pPr>
        <w:pStyle w:val="Heading1"/>
        <w:spacing w:before="200" w:after="100"/>
      </w:pPr>
      <w:r>
        <w:rPr>
          <w:b w:val="0"/>
        </w:rPr>
        <w:t>ABSTRACT</w:t>
      </w:r>
    </w:p>
    <w:p>
      <w:pPr>
        <w:spacing w:after="100" w:line="259" w:lineRule="auto"/>
      </w:pPr>
      <w:r>
        <w:rPr>
          <w:b w:val="0"/>
        </w:rPr>
        <w:t>NOX Na-POD presents a mechanically constrained sodium-ion energy-storage architecture designed around the 12 V / 150 Ah residential inverter battery form factor. The research treats the pack as an integrated system in which electrochemical behavior, cell expansion, heat transport, compression, battery management, charging compatibility, and economics must operate together. The proposed architecture uses a 4S prismatic sodium-ion configuration, approximately 12.8 V nominal and 150 Ah equivalent capacity, combined with a Belleville disc-spring compression system, fiberglass confinement, a silicone tolerance-compensation layer, and SS304 compression plates. Passive thermal management uses approximately 1 cm vertical airflow channels together with a 35–45 °C phase-change-material window. An ESP32-based BMS provides current integration, thermal-gradient awareness, impedance-related monitoring, protection functions, and wireless telemetry.</w:t>
      </w:r>
    </w:p>
    <w:p>
      <w:pPr>
        <w:spacing w:after="100" w:line="259" w:lineRule="auto"/>
      </w:pPr>
      <w:r>
        <w:rPr>
          <w:b w:val="0"/>
        </w:rPr>
        <w:t>The paper develops the architecture through mechanical, thermal, embedded, integration, risk, and economic analyses. The nominal pack energy is derived as 12.8 V × 150 Ah = 1.92 kWh. The approximately 500 kgf Belleville preload is a design target corresponding to 4.903 kN using standard gravity. Economic projections consider INR 13,500 COGS, INR 19,000 wholesale pricing, and INR 24,500 retail pricing, with break-even service-life thresholds calculated under explicit assumptions. The research also identifies the major engineering questions that must be resolved through prototype testing, including spring-stack characterization, thermal saturation behavior, BMS SOC accuracy, charger compatibility, cycle life, safety, and manufacturing repeatability. The manuscript establishes the electro-thermo-mechanical design envelope and systems architecture to define the requirements for subsequent prototype qualification.</w:t>
      </w:r>
    </w:p>
    <w:p>
      <w:pPr>
        <w:pStyle w:val="Heading2"/>
        <w:spacing w:before="200" w:after="100"/>
      </w:pPr>
      <w:r>
        <w:rPr>
          <w:b w:val="0"/>
        </w:rPr>
        <w:t>Keywords</w:t>
      </w:r>
    </w:p>
    <w:p>
      <w:pPr>
        <w:spacing w:after="100" w:line="259" w:lineRule="auto"/>
      </w:pPr>
      <w:r>
        <w:rPr>
          <w:b w:val="0"/>
        </w:rPr>
        <w:t>sodium-ion battery; mechanical compliance; Belleville spring; passive thermal management; phase change material; battery management system; ESP32; inverter battery replacement; embedded systems; energy storage; system engineering; feasibility analysis</w:t>
      </w:r>
    </w:p>
    <w:p>
      <w:r>
        <w:br w:type="page"/>
      </w:r>
    </w:p>
    <w:p>
      <w:pPr>
        <w:pStyle w:val="Heading1"/>
        <w:spacing w:before="200" w:after="100"/>
      </w:pPr>
      <w:r>
        <w:rPr>
          <w:b w:val="0"/>
        </w:rPr>
        <w:t>NOMENCLATURE</w:t>
      </w:r>
    </w:p>
    <w:p>
      <w:pPr>
        <w:pStyle w:val="ListBullet"/>
      </w:pPr>
      <w:r>
        <w:rPr>
          <w:b w:val="0"/>
        </w:rPr>
        <w:t>4S — four cells in series</w:t>
      </w:r>
    </w:p>
    <w:p>
      <w:pPr>
        <w:pStyle w:val="ListBullet"/>
      </w:pPr>
      <w:r>
        <w:rPr>
          <w:b w:val="0"/>
        </w:rPr>
        <w:t>B2B / B2C — business-to-business / business-to-consumer</w:t>
      </w:r>
    </w:p>
    <w:p>
      <w:pPr>
        <w:pStyle w:val="ListBullet"/>
      </w:pPr>
      <w:r>
        <w:rPr>
          <w:b w:val="0"/>
        </w:rPr>
        <w:t>BMS — battery management system</w:t>
      </w:r>
    </w:p>
    <w:p>
      <w:pPr>
        <w:pStyle w:val="ListBullet"/>
      </w:pPr>
      <w:r>
        <w:rPr>
          <w:b w:val="0"/>
        </w:rPr>
        <w:t>COGS — cost of goods sold</w:t>
      </w:r>
    </w:p>
    <w:p>
      <w:pPr>
        <w:pStyle w:val="ListBullet"/>
      </w:pPr>
      <w:r>
        <w:rPr>
          <w:b w:val="0"/>
        </w:rPr>
        <w:t>DoD — depth of discharge</w:t>
      </w:r>
    </w:p>
    <w:p>
      <w:pPr>
        <w:pStyle w:val="ListBullet"/>
      </w:pPr>
      <w:r>
        <w:rPr>
          <w:b w:val="0"/>
        </w:rPr>
        <w:t>FMEA — failure mode and effects analysis</w:t>
      </w:r>
    </w:p>
    <w:p>
      <w:pPr>
        <w:pStyle w:val="ListBullet"/>
      </w:pPr>
      <w:r>
        <w:rPr>
          <w:b w:val="0"/>
        </w:rPr>
        <w:t>kgf — kilogram-force</w:t>
      </w:r>
    </w:p>
    <w:p>
      <w:pPr>
        <w:pStyle w:val="ListBullet"/>
      </w:pPr>
      <w:r>
        <w:rPr>
          <w:b w:val="0"/>
        </w:rPr>
        <w:t>MCU — microcontroller unit</w:t>
      </w:r>
    </w:p>
    <w:p>
      <w:pPr>
        <w:pStyle w:val="ListBullet"/>
      </w:pPr>
      <w:r>
        <w:rPr>
          <w:b w:val="0"/>
        </w:rPr>
        <w:t>PCM — phase change material</w:t>
      </w:r>
    </w:p>
    <w:p>
      <w:pPr>
        <w:pStyle w:val="ListBullet"/>
      </w:pPr>
      <w:r>
        <w:rPr>
          <w:b w:val="0"/>
        </w:rPr>
        <w:t>SOC — state of charge</w:t>
      </w:r>
    </w:p>
    <w:p>
      <w:pPr>
        <w:pStyle w:val="ListBullet"/>
      </w:pPr>
      <w:r>
        <w:rPr>
          <w:b w:val="0"/>
        </w:rPr>
        <w:t>SS304 — austenitic stainless steel, grade 304</w:t>
      </w:r>
    </w:p>
    <w:p>
      <w:pPr>
        <w:pStyle w:val="ListBullet"/>
      </w:pPr>
      <w:r>
        <w:rPr>
          <w:b w:val="0"/>
        </w:rPr>
        <w:t>TCO — total cost of ownership</w:t>
      </w:r>
    </w:p>
    <w:p>
      <w:pPr>
        <w:pStyle w:val="ListBullet"/>
      </w:pPr>
      <w:r>
        <w:rPr>
          <w:b w:val="0"/>
        </w:rPr>
        <w:t>INR — Indian rupees</w:t>
      </w:r>
    </w:p>
    <w:p>
      <w:r>
        <w:br w:type="page"/>
      </w:r>
    </w:p>
    <w:p>
      <w:pPr>
        <w:pStyle w:val="Heading1"/>
        <w:spacing w:before="200" w:after="100"/>
      </w:pPr>
      <w:r>
        <w:rPr>
          <w:b w:val="0"/>
        </w:rPr>
        <w:t>TABLE OF CONTENTS</w:t>
      </w:r>
    </w:p>
    <w:p>
      <w:pPr>
        <w:spacing w:after="100" w:line="259" w:lineRule="auto"/>
      </w:pPr>
      <w:r>
        <w:rPr>
          <w:b w:val="0"/>
        </w:rPr>
        <w:t>1. Problem and Research Motivation</w:t>
      </w:r>
    </w:p>
    <w:p>
      <w:pPr>
        <w:spacing w:after="100" w:line="259" w:lineRule="auto"/>
      </w:pPr>
      <w:r>
        <w:rPr>
          <w:b w:val="0"/>
        </w:rPr>
        <w:t>2. Research Contributions</w:t>
      </w:r>
    </w:p>
    <w:p>
      <w:pPr>
        <w:spacing w:after="100" w:line="259" w:lineRule="auto"/>
      </w:pPr>
      <w:r>
        <w:rPr>
          <w:b w:val="0"/>
        </w:rPr>
        <w:t>3. System Specification</w:t>
      </w:r>
    </w:p>
    <w:p>
      <w:pPr>
        <w:spacing w:after="100" w:line="259" w:lineRule="auto"/>
      </w:pPr>
      <w:r>
        <w:rPr>
          <w:b w:val="0"/>
        </w:rPr>
        <w:t>4. System Architecture</w:t>
      </w:r>
    </w:p>
    <w:p>
      <w:pPr>
        <w:spacing w:after="100" w:line="259" w:lineRule="auto"/>
      </w:pPr>
      <w:r>
        <w:rPr>
          <w:b w:val="0"/>
        </w:rPr>
        <w:t>5. Electrochemical Subsystem</w:t>
      </w:r>
    </w:p>
    <w:p>
      <w:pPr>
        <w:spacing w:after="100" w:line="259" w:lineRule="auto"/>
      </w:pPr>
      <w:r>
        <w:rPr>
          <w:b w:val="0"/>
        </w:rPr>
        <w:t>6. Mechanical Compliance Engineering</w:t>
      </w:r>
    </w:p>
    <w:p>
      <w:pPr>
        <w:spacing w:after="100" w:line="259" w:lineRule="auto"/>
      </w:pPr>
      <w:r>
        <w:rPr>
          <w:b w:val="0"/>
        </w:rPr>
        <w:t>6.2 Force–Deflection Concept</w:t>
      </w:r>
    </w:p>
    <w:p>
      <w:pPr>
        <w:spacing w:after="100" w:line="259" w:lineRule="auto"/>
      </w:pPr>
      <w:r>
        <w:rPr>
          <w:b w:val="0"/>
        </w:rPr>
        <w:t>7. Passive Thermal Management</w:t>
      </w:r>
    </w:p>
    <w:p>
      <w:pPr>
        <w:spacing w:after="100" w:line="259" w:lineRule="auto"/>
      </w:pPr>
      <w:r>
        <w:rPr>
          <w:b w:val="0"/>
        </w:rPr>
        <w:t>8. BMS and Embedded Architecture</w:t>
      </w:r>
    </w:p>
    <w:p>
      <w:pPr>
        <w:spacing w:after="100" w:line="259" w:lineRule="auto"/>
      </w:pPr>
      <w:r>
        <w:rPr>
          <w:b w:val="0"/>
        </w:rPr>
        <w:t>8.4 Charge Integration</w:t>
      </w:r>
    </w:p>
    <w:p>
      <w:pPr>
        <w:spacing w:after="100" w:line="259" w:lineRule="auto"/>
      </w:pPr>
      <w:r>
        <w:rPr>
          <w:b w:val="0"/>
        </w:rPr>
        <w:t>9. Failure Modes and Risk Controls</w:t>
      </w:r>
    </w:p>
    <w:p>
      <w:pPr>
        <w:spacing w:after="100" w:line="259" w:lineRule="auto"/>
      </w:pPr>
      <w:r>
        <w:rPr>
          <w:b w:val="0"/>
        </w:rPr>
        <w:t>10. Economic Model</w:t>
      </w:r>
    </w:p>
    <w:p>
      <w:pPr>
        <w:spacing w:after="100" w:line="259" w:lineRule="auto"/>
      </w:pPr>
      <w:r>
        <w:rPr>
          <w:b w:val="0"/>
        </w:rPr>
        <w:t>10.3 Break-Even Sensitivity</w:t>
      </w:r>
    </w:p>
    <w:p>
      <w:pPr>
        <w:spacing w:after="100" w:line="259" w:lineRule="auto"/>
      </w:pPr>
      <w:r>
        <w:rPr>
          <w:b w:val="0"/>
        </w:rPr>
        <w:t>11. Feasibility Assessment</w:t>
      </w:r>
    </w:p>
    <w:p>
      <w:pPr>
        <w:spacing w:after="100" w:line="259" w:lineRule="auto"/>
      </w:pPr>
      <w:r>
        <w:rPr>
          <w:b w:val="0"/>
        </w:rPr>
        <w:t>12. Limitations and Validation Program</w:t>
      </w:r>
    </w:p>
    <w:p>
      <w:pPr>
        <w:spacing w:after="100" w:line="259" w:lineRule="auto"/>
      </w:pPr>
      <w:r>
        <w:rPr>
          <w:b w:val="0"/>
        </w:rPr>
        <w:t>13. Conclusion and Author Declaration</w:t>
      </w:r>
    </w:p>
    <w:p>
      <w:pPr>
        <w:pStyle w:val="Heading2"/>
        <w:spacing w:before="200" w:after="100"/>
      </w:pPr>
      <w:r>
        <w:rPr>
          <w:b w:val="0"/>
        </w:rPr>
        <w:t>HOW TO READ THIS PAPER</w:t>
      </w:r>
    </w:p>
    <w:p>
      <w:pPr>
        <w:spacing w:after="100" w:line="259" w:lineRule="auto"/>
      </w:pPr>
      <w:r>
        <w:rPr>
          <w:b w:val="0"/>
        </w:rPr>
        <w:t>The paper first defines the engineering problem and design objectives, then establishes the system specification and architecture. The electrochemical section defines the cell configuration and its pack-level implications. Mechanical and thermal sections explain how expansion and heat are handled physically. The BMS section describes measurement, protection, SOC estimation, telemetry, and charging integration. The final sections evaluate risk, economics, feasibility, limitations, and the experimental work required to transition the design into a validated prototype.</w:t>
      </w:r>
    </w:p>
    <w:p>
      <w:r>
        <w:br w:type="page"/>
      </w:r>
    </w:p>
    <w:p>
      <w:pPr>
        <w:spacing w:after="100" w:line="259" w:lineRule="auto"/>
        <w:keepNext/>
      </w:pPr>
      <w:r>
        <w:rPr>
          <w:rFonts w:ascii="Aptos" w:hAnsi="Aptos" w:cs="Aptos"/>
          <w:b/>
          <w:color w:val="2F5F48"/>
          <w:sz w:val="17"/>
        </w:rPr>
        <w:t>1  |  PROBLEM AND RESEARCH MOTIVATION</w:t>
      </w:r>
    </w:p>
    <w:p>
      <w:pPr>
        <w:pStyle w:val="Heading1"/>
        <w:spacing w:before="200" w:after="100"/>
        <w:keepNext/>
      </w:pPr>
      <w:r>
        <w:rPr>
          <w:rFonts w:ascii="Aptos" w:hAnsi="Aptos" w:cs="Aptos"/>
          <w:b/>
          <w:color w:val="182028"/>
          <w:sz w:val="40"/>
        </w:rPr>
        <w:t>The problem is not only the cell</w:t>
      </w:r>
    </w:p>
    <w:p>
      <w:pPr>
        <w:spacing w:after="100" w:line="259" w:lineRule="auto"/>
        <w:keepNext/>
      </w:pPr>
      <w:r>
        <w:rPr>
          <w:rFonts w:ascii="Aptos" w:hAnsi="Aptos" w:cs="Aptos"/>
          <w:b w:val="0"/>
          <w:i w:val="0"/>
          <w:color w:val="56616B"/>
          <w:sz w:val="21"/>
        </w:rPr>
        <w:t>It is the interaction between chemistry, expansion, heat, packaging, and the inverter.</w:t>
      </w:r>
    </w:p>
    <w:p>
      <w:pPr>
        <w:spacing w:after="100" w:line="259" w:lineRule="auto"/>
        <w:ind w:firstLine="259"/>
      </w:pPr>
      <w:r>
        <w:rPr>
          <w:rFonts w:ascii="Aptos" w:hAnsi="Aptos" w:cs="Aptos"/>
          <w:b w:val="0"/>
          <w:i w:val="0"/>
          <w:color w:val="182028"/>
          <w:sz w:val="21"/>
        </w:rPr>
        <w:t>Residential backup systems traditionally rely on lead-acid batteries because the ecosystem is familiar and mechanically simple. The baseline considered in this research uses a 12,000–15,000 INR purchase range and a 2–3 year replacement cadence as an economic reference. The design challenge is to introduce sodium-ion storage without simply transferring the weaknesses of a conventional rigid battery enclosure.</w:t>
      </w:r>
    </w:p>
    <w:p>
      <w:pPr>
        <w:spacing w:after="100" w:line="259" w:lineRule="auto"/>
        <w:ind w:firstLine="259"/>
      </w:pPr>
      <w:r>
        <w:rPr>
          <w:rFonts w:ascii="Aptos" w:hAnsi="Aptos" w:cs="Aptos"/>
          <w:b w:val="0"/>
          <w:i w:val="0"/>
          <w:color w:val="182028"/>
          <w:sz w:val="21"/>
        </w:rPr>
        <w:t>The research identifies three system-level problems. First, sodium-ion cells can exhibit dimensional change during cycling, making a rigid compression structure undesirable. Second, tropical ambient conditions can elevate internal temperature and accelerate aging, so passive thermal management is built into the pack. Third, flat discharge characteristics reduce the usefulness of voltage alone for state-of-charge estimation, motivating a measurement-based BMS architecture.</w:t>
      </w:r>
    </w:p>
    <w:tbl>
      <w:tblPr>
        <w:tblW w:type="auto" w:w="0"/>
        <w:jc w:val="center"/>
        <w:tblLayout w:type="fixed"/>
        <w:tblLook w:firstColumn="1" w:firstRow="1" w:lastColumn="0" w:lastRow="0" w:noHBand="0" w:noVBand="1" w:val="04A0"/>
      </w:tblPr>
      <w:tblGrid>
        <w:gridCol w:w="9576"/>
      </w:tblGrid>
      <w:tr>
        <w:trPr>
          <w:cantSplit/>
        </w:trPr>
        <w:tc>
          <w:tcPr>
            <w:tcW w:type="dxa" w:w="9835"/>
            <w:shd w:fill="F5F7F8"/>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182028"/>
                <w:sz w:val="18"/>
              </w:rPr>
              <w:t>DESIGN QUESTION</w:t>
            </w:r>
          </w:p>
          <w:p>
            <w:pPr>
              <w:spacing w:after="40" w:line="259" w:lineRule="auto"/>
            </w:pPr>
            <w:r>
              <w:rPr>
                <w:rFonts w:ascii="Aptos" w:hAnsi="Aptos" w:cs="Aptos"/>
                <w:b w:val="0"/>
                <w:i w:val="0"/>
                <w:color w:val="182028"/>
                <w:sz w:val="18"/>
              </w:rPr>
              <w:t>Can a 12 V / 150 Ah sodium-ion pack be engineered as a mechanically compliant, passively cooled, telemetry-enabled system that fits the residential inverter replacement format?</w:t>
            </w:r>
          </w:p>
        </w:tc>
      </w:tr>
    </w:tbl>
    <w:p>
      <w:pPr>
        <w:spacing w:after="100" w:line="259" w:lineRule="auto"/>
      </w:pPr>
    </w:p>
    <w:p>
      <w:pPr>
        <w:pStyle w:val="Heading2"/>
        <w:spacing w:before="200" w:after="100"/>
        <w:keepNext/>
      </w:pPr>
      <w:r>
        <w:rPr>
          <w:rFonts w:ascii="Aptos" w:hAnsi="Aptos" w:cs="Aptos"/>
          <w:b/>
          <w:color w:val="182028"/>
          <w:sz w:val="26"/>
        </w:rPr>
        <w:t>Research objectives</w:t>
      </w:r>
    </w:p>
    <w:p>
      <w:pPr>
        <w:pStyle w:val="ListBullet"/>
        <w:spacing w:after="80"/>
        <w:ind w:left="360" w:hanging="173"/>
      </w:pPr>
      <w:r>
        <w:rPr>
          <w:rFonts w:ascii="Aptos" w:hAnsi="Aptos" w:cs="Aptos"/>
          <w:b w:val="0"/>
          <w:i w:val="0"/>
          <w:color w:val="182028"/>
          <w:sz w:val="20"/>
        </w:rPr>
        <w:t>Create a mechanically compliant enclosure that manages cell expansion rather than fighting it.</w:t>
      </w:r>
    </w:p>
    <w:p>
      <w:pPr>
        <w:pStyle w:val="ListBullet"/>
        <w:spacing w:after="80"/>
        <w:ind w:left="360" w:hanging="173"/>
      </w:pPr>
      <w:r>
        <w:rPr>
          <w:rFonts w:ascii="Aptos" w:hAnsi="Aptos" w:cs="Aptos"/>
          <w:b w:val="0"/>
          <w:i w:val="0"/>
          <w:color w:val="182028"/>
          <w:sz w:val="20"/>
        </w:rPr>
        <w:t>Integrate passive thermal transport and phase-change buffering for high-ambient operation.</w:t>
      </w:r>
    </w:p>
    <w:p>
      <w:pPr>
        <w:pStyle w:val="ListBullet"/>
        <w:spacing w:after="80"/>
        <w:ind w:left="360" w:hanging="173"/>
      </w:pPr>
      <w:r>
        <w:rPr>
          <w:rFonts w:ascii="Aptos" w:hAnsi="Aptos" w:cs="Aptos"/>
          <w:b w:val="0"/>
          <w:i w:val="0"/>
          <w:color w:val="182028"/>
          <w:sz w:val="20"/>
        </w:rPr>
        <w:t>Use an embedded BMS architecture that improves monitoring and SOC estimation capability.</w:t>
      </w:r>
    </w:p>
    <w:p>
      <w:pPr>
        <w:pStyle w:val="ListBullet"/>
        <w:spacing w:after="80"/>
        <w:ind w:left="360" w:hanging="173"/>
      </w:pPr>
      <w:r>
        <w:rPr>
          <w:rFonts w:ascii="Aptos" w:hAnsi="Aptos" w:cs="Aptos"/>
          <w:b w:val="0"/>
          <w:i w:val="0"/>
          <w:color w:val="182028"/>
          <w:sz w:val="20"/>
        </w:rPr>
        <w:t>Preserve a familiar battery form factor while making charging compatibility an explicit design requirement.</w:t>
      </w:r>
    </w:p>
    <w:p>
      <w:pPr>
        <w:pStyle w:val="ListBullet"/>
        <w:spacing w:after="80"/>
        <w:ind w:left="360" w:hanging="173"/>
      </w:pPr>
      <w:r>
        <w:rPr>
          <w:rFonts w:ascii="Aptos" w:hAnsi="Aptos" w:cs="Aptos"/>
          <w:b w:val="0"/>
          <w:i w:val="0"/>
          <w:color w:val="182028"/>
          <w:sz w:val="20"/>
        </w:rPr>
        <w:t>Quantify the concept through engineering calculations, system architecture, risk analysis, and an economic model.</w:t>
      </w:r>
    </w:p>
    <w:p>
      <w:pPr>
        <w:spacing w:after="100" w:line="259" w:lineRule="auto"/>
        <w:keepNext/>
      </w:pPr>
      <w:r>
        <w:rPr>
          <w:rFonts w:ascii="Aptos" w:hAnsi="Aptos" w:cs="Aptos"/>
          <w:b/>
          <w:color w:val="2F5F48"/>
          <w:sz w:val="17"/>
        </w:rPr>
        <w:t>2  |  RESEARCH CONTRIBUTIONS</w:t>
      </w:r>
    </w:p>
    <w:p>
      <w:pPr>
        <w:pStyle w:val="Heading1"/>
        <w:spacing w:before="200" w:after="100"/>
        <w:keepNext/>
      </w:pPr>
      <w:r>
        <w:rPr>
          <w:rFonts w:ascii="Aptos" w:hAnsi="Aptos" w:cs="Aptos"/>
          <w:b/>
          <w:color w:val="182028"/>
          <w:sz w:val="40"/>
        </w:rPr>
        <w:t>Four design decisions define the Na-POD architecture</w:t>
      </w:r>
    </w:p>
    <w:tbl>
      <w:tblPr>
        <w:tblW w:type="auto" w:w="0"/>
        <w:jc w:val="center"/>
        <w:tblLayout w:type="fixed"/>
        <w:tblLook w:firstColumn="1" w:firstRow="1" w:lastColumn="0" w:lastRow="0" w:noHBand="0" w:noVBand="1" w:val="04A0"/>
      </w:tblPr>
      <w:tblGrid>
        <w:gridCol w:w="4917"/>
        <w:gridCol w:w="4917"/>
      </w:tblGrid>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1. Mechanical compliance first</w:t>
            </w:r>
          </w:p>
          <w:p>
            <w:pPr>
              <w:spacing w:after="40" w:line="259" w:lineRule="auto"/>
            </w:pPr>
            <w:r>
              <w:rPr>
                <w:rFonts w:ascii="Aptos" w:hAnsi="Aptos" w:cs="Aptos"/>
                <w:b w:val="0"/>
                <w:i w:val="0"/>
                <w:color w:val="182028"/>
                <w:sz w:val="18"/>
              </w:rPr>
              <w:t>The pack uses a preload element rather than a fixed rigid spacer. The objective is controlled compression while allowing constrained expansion travel.</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2. Thermal control without a fan</w:t>
            </w:r>
          </w:p>
          <w:p>
            <w:pPr>
              <w:spacing w:after="40" w:line="259" w:lineRule="auto"/>
            </w:pPr>
            <w:r>
              <w:rPr>
                <w:rFonts w:ascii="Aptos" w:hAnsi="Aptos" w:cs="Aptos"/>
                <w:b w:val="0"/>
                <w:i w:val="0"/>
                <w:color w:val="182028"/>
                <w:sz w:val="18"/>
              </w:rPr>
              <w:t>Natural-convection chimneys are paired with a PCM layer so the pack can transport and buffer heat without a continuous fan load.</w:t>
            </w:r>
          </w:p>
        </w:tc>
      </w:tr>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3. Monitoring at the pack level</w:t>
            </w:r>
          </w:p>
          <w:p>
            <w:pPr>
              <w:spacing w:after="40" w:line="259" w:lineRule="auto"/>
            </w:pPr>
            <w:r>
              <w:rPr>
                <w:rFonts w:ascii="Aptos" w:hAnsi="Aptos" w:cs="Aptos"/>
                <w:b w:val="0"/>
                <w:i w:val="0"/>
                <w:color w:val="182028"/>
                <w:sz w:val="18"/>
              </w:rPr>
              <w:t>The BMS measures current, temperature, impedance-related behavior, and pack status rather than treating the cell as an isolated component.</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4. Integration boundary is explicit</w:t>
            </w:r>
          </w:p>
          <w:p>
            <w:pPr>
              <w:spacing w:after="40" w:line="259" w:lineRule="auto"/>
            </w:pPr>
            <w:r>
              <w:rPr>
                <w:rFonts w:ascii="Aptos" w:hAnsi="Aptos" w:cs="Aptos"/>
                <w:b w:val="0"/>
                <w:i w:val="0"/>
                <w:color w:val="182028"/>
                <w:sz w:val="18"/>
              </w:rPr>
              <w:t>Legacy lead-acid charging behavior is not assumed to be automatically compatible. Controlled charging is part of the product architecture.</w:t>
            </w:r>
          </w:p>
        </w:tc>
      </w:tr>
    </w:tbl>
    <w:p>
      <w:pPr>
        <w:spacing w:after="100" w:line="259" w:lineRule="auto"/>
      </w:pPr>
    </w:p>
    <w:p>
      <w:pPr>
        <w:pStyle w:val="Heading2"/>
        <w:spacing w:before="200" w:after="100"/>
        <w:keepNext/>
      </w:pPr>
      <w:r>
        <w:rPr>
          <w:rFonts w:ascii="Aptos" w:hAnsi="Aptos" w:cs="Aptos"/>
          <w:b/>
          <w:color w:val="182028"/>
          <w:sz w:val="26"/>
        </w:rPr>
        <w:t>What this paper contains</w:t>
      </w:r>
    </w:p>
    <w:p>
      <w:pPr>
        <w:pStyle w:val="ListBullet"/>
        <w:spacing w:after="60"/>
        <w:ind w:left="360" w:hanging="173"/>
      </w:pPr>
      <w:r>
        <w:rPr>
          <w:rFonts w:ascii="Aptos" w:hAnsi="Aptos" w:cs="Aptos"/>
          <w:b w:val="0"/>
          <w:i w:val="0"/>
          <w:color w:val="182028"/>
          <w:sz w:val="20"/>
        </w:rPr>
        <w:t>System-level architecture for a 4S sodium-ion pack.</w:t>
      </w:r>
    </w:p>
    <w:p>
      <w:pPr>
        <w:pStyle w:val="ListBullet"/>
        <w:spacing w:after="60"/>
        <w:ind w:left="360" w:hanging="173"/>
      </w:pPr>
      <w:r>
        <w:rPr>
          <w:rFonts w:ascii="Aptos" w:hAnsi="Aptos" w:cs="Aptos"/>
          <w:b w:val="0"/>
          <w:i w:val="0"/>
          <w:color w:val="182028"/>
          <w:sz w:val="20"/>
        </w:rPr>
        <w:t>Mechanical compliance design and Belleville spring force-deflection concept.</w:t>
      </w:r>
    </w:p>
    <w:p>
      <w:pPr>
        <w:pStyle w:val="ListBullet"/>
        <w:spacing w:after="60"/>
        <w:ind w:left="360" w:hanging="173"/>
      </w:pPr>
      <w:r>
        <w:rPr>
          <w:rFonts w:ascii="Aptos" w:hAnsi="Aptos" w:cs="Aptos"/>
          <w:b w:val="0"/>
          <w:i w:val="0"/>
          <w:color w:val="182028"/>
          <w:sz w:val="20"/>
        </w:rPr>
        <w:t>Passive thermal management using chimney convection and PCM buffering.</w:t>
      </w:r>
    </w:p>
    <w:p>
      <w:pPr>
        <w:pStyle w:val="ListBullet"/>
        <w:spacing w:after="60"/>
        <w:ind w:left="360" w:hanging="173"/>
      </w:pPr>
      <w:r>
        <w:rPr>
          <w:rFonts w:ascii="Aptos" w:hAnsi="Aptos" w:cs="Aptos"/>
          <w:b w:val="0"/>
          <w:i w:val="0"/>
          <w:color w:val="182028"/>
          <w:sz w:val="20"/>
        </w:rPr>
        <w:t>ESP32 BMS signal-flow and charge-integration architecture.</w:t>
      </w:r>
    </w:p>
    <w:p>
      <w:pPr>
        <w:pStyle w:val="ListBullet"/>
        <w:spacing w:after="60"/>
        <w:ind w:left="360" w:hanging="173"/>
      </w:pPr>
      <w:r>
        <w:rPr>
          <w:rFonts w:ascii="Aptos" w:hAnsi="Aptos" w:cs="Aptos"/>
          <w:b w:val="0"/>
          <w:i w:val="0"/>
          <w:color w:val="182028"/>
          <w:sz w:val="20"/>
        </w:rPr>
        <w:t>Qualitative FMEA, economic model, break-even sensitivity, feasibility assessment, and validation roadmap.</w:t>
      </w:r>
    </w:p>
    <w:tbl>
      <w:tblPr>
        <w:tblW w:type="auto" w:w="0"/>
        <w:jc w:val="center"/>
        <w:tblLayout w:type="fixed"/>
        <w:tblLook w:firstColumn="1" w:firstRow="1" w:lastColumn="0" w:lastRow="0" w:noHBand="0" w:noVBand="1" w:val="04A0"/>
      </w:tblPr>
      <w:tblGrid>
        <w:gridCol w:w="9576"/>
      </w:tblGrid>
      <w:tr>
        <w:trPr>
          <w:cantSplit/>
        </w:trPr>
        <w:tc>
          <w:tcPr>
            <w:tcW w:type="dxa" w:w="9835"/>
            <w:shd w:fill="F5F7F8"/>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182028"/>
                <w:sz w:val="18"/>
              </w:rPr>
              <w:t>ENGINEERING STATUS</w:t>
            </w:r>
          </w:p>
          <w:p>
            <w:pPr>
              <w:spacing w:after="40" w:line="259" w:lineRule="auto"/>
            </w:pPr>
            <w:r>
              <w:rPr>
                <w:rFonts w:ascii="Aptos" w:hAnsi="Aptos" w:cs="Aptos"/>
                <w:b w:val="0"/>
                <w:i w:val="0"/>
                <w:color w:val="182028"/>
                <w:sz w:val="18"/>
              </w:rPr>
              <w:t>This is a design-stage research paper. Quantitative values are design targets, derived calculations, or projections unless explicitly identified as measured results. Prototype validation is a next-stage activity.</w:t>
            </w:r>
          </w:p>
        </w:tc>
      </w:tr>
    </w:tbl>
    <w:p>
      <w:pPr>
        <w:spacing w:after="100" w:line="259" w:lineRule="auto"/>
      </w:pPr>
    </w:p>
    <w:p>
      <w:pPr>
        <w:spacing w:after="100" w:line="259" w:lineRule="auto"/>
        <w:keepNext/>
      </w:pPr>
      <w:r>
        <w:rPr>
          <w:rFonts w:ascii="Aptos" w:hAnsi="Aptos" w:cs="Aptos"/>
          <w:b/>
          <w:color w:val="2F5F48"/>
          <w:sz w:val="17"/>
        </w:rPr>
        <w:t>3  |  SYSTEM SPECIFICATION</w:t>
      </w:r>
    </w:p>
    <w:p>
      <w:pPr>
        <w:pStyle w:val="Heading1"/>
        <w:spacing w:before="200" w:after="100"/>
        <w:keepNext/>
      </w:pPr>
      <w:r>
        <w:rPr>
          <w:rFonts w:ascii="Aptos" w:hAnsi="Aptos" w:cs="Aptos"/>
          <w:b/>
          <w:color w:val="182028"/>
          <w:sz w:val="40"/>
        </w:rPr>
        <w:t>Nominal design envelope</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3024"/>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Parameter</w:t>
            </w:r>
          </w:p>
        </w:tc>
        <w:tc>
          <w:tcPr>
            <w:tcW w:type="dxa" w:w="2232"/>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Value</w:t>
            </w:r>
          </w:p>
        </w:tc>
        <w:tc>
          <w:tcPr>
            <w:tcW w:type="dxa" w:w="2160"/>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Status</w:t>
            </w:r>
          </w:p>
        </w:tc>
        <w:tc>
          <w:tcPr>
            <w:tcW w:type="dxa" w:w="2160"/>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Notes</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Cell topology</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4S prismatic sodium-ion</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Design target</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4 cells in series</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Cell nominal voltage</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3.0–3.2 V</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Design target</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Per prismatic cell</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Pack nominal voltage</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12.8 V</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Derived</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4 × nominal cell voltage</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Equivalent capacity</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150 Ah</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Design target</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Residential inverter class</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Nominal pack energy</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1.92 kWh</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Derived</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12.8 V × 150 Ah</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Mechanical preload</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~500 kgf / 4.903 kN</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Design target / derived</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Belleville disc-spring stack</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Airflow chimney spacing</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~1 cm</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Design target</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Vertical natural convection</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PCM window</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35–45 °C</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Design target</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Passive thermal buffering</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BMS platform</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ESP32</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Design target</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Monitoring and control</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Enclosure concept</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ABS + PC</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Design target</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Drop-in pack enclosure</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Projected COGS</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INR 13,500</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Projection</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Prototype-to-scale target</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Projected wholesale</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INR 19,000</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Projection</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B2B reference price</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Projected retail</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INR 24,500</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Projection</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B2C reference price</w:t>
            </w:r>
          </w:p>
        </w:tc>
      </w:tr>
    </w:tbl>
    <w:p>
      <w:pPr>
        <w:spacing w:after="100" w:line="259" w:lineRule="auto"/>
      </w:pPr>
      <w:r>
        <w:rPr>
          <w:rFonts w:ascii="Aptos" w:hAnsi="Aptos" w:cs="Aptos"/>
          <w:b w:val="0"/>
          <w:i w:val="0"/>
          <w:color w:val="56616B"/>
          <w:sz w:val="19"/>
        </w:rPr>
        <w:t>The nominal 1.92 kWh energy figure is a simple product of nominal voltage and equivalent capacity. It should not be interpreted as usable energy at a specified depth of discharge.</w:t>
      </w:r>
    </w:p>
    <w:p>
      <w:pPr>
        <w:pStyle w:val="Heading2"/>
        <w:spacing w:before="200" w:after="100"/>
        <w:keepNext/>
      </w:pPr>
      <w:r>
        <w:rPr>
          <w:rFonts w:ascii="Aptos" w:hAnsi="Aptos" w:cs="Aptos"/>
          <w:b/>
          <w:color w:val="182028"/>
          <w:sz w:val="26"/>
        </w:rPr>
        <w:t>Pack-level engineering intent</w:t>
      </w:r>
    </w:p>
    <w:tbl>
      <w:tblPr>
        <w:tblW w:type="auto" w:w="0"/>
        <w:jc w:val="center"/>
        <w:tblLayout w:type="fixed"/>
        <w:tblLook w:firstColumn="1" w:firstRow="1" w:lastColumn="0" w:lastRow="0" w:noHBand="0" w:noVBand="1" w:val="04A0"/>
      </w:tblPr>
      <w:tblGrid>
        <w:gridCol w:w="4917"/>
        <w:gridCol w:w="4917"/>
      </w:tblGrid>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Target form factor</w:t>
            </w:r>
          </w:p>
          <w:p>
            <w:pPr>
              <w:spacing w:after="40" w:line="259" w:lineRule="auto"/>
            </w:pPr>
            <w:r>
              <w:rPr>
                <w:rFonts w:ascii="Aptos" w:hAnsi="Aptos" w:cs="Aptos"/>
                <w:b w:val="0"/>
                <w:i w:val="0"/>
                <w:color w:val="182028"/>
                <w:sz w:val="18"/>
              </w:rPr>
              <w:t>Designed around the conventional 12 V / 150 Ah residential battery replacement envelope.</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Compression system</w:t>
            </w:r>
          </w:p>
          <w:p>
            <w:pPr>
              <w:spacing w:after="40" w:line="259" w:lineRule="auto"/>
            </w:pPr>
            <w:r>
              <w:rPr>
                <w:rFonts w:ascii="Aptos" w:hAnsi="Aptos" w:cs="Aptos"/>
                <w:b w:val="0"/>
                <w:i w:val="0"/>
                <w:color w:val="182028"/>
                <w:sz w:val="18"/>
              </w:rPr>
              <w:t>Spring-loaded compression accommodates dimensional change while maintaining stack contact.</w:t>
            </w:r>
          </w:p>
        </w:tc>
      </w:tr>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Thermal path</w:t>
            </w:r>
          </w:p>
          <w:p>
            <w:pPr>
              <w:spacing w:after="40" w:line="259" w:lineRule="auto"/>
            </w:pPr>
            <w:r>
              <w:rPr>
                <w:rFonts w:ascii="Aptos" w:hAnsi="Aptos" w:cs="Aptos"/>
                <w:b w:val="0"/>
                <w:i w:val="0"/>
                <w:color w:val="182028"/>
                <w:sz w:val="18"/>
              </w:rPr>
              <w:t>Air channels provide buoyancy-driven flow; PCM provides latent heat absorption in the target window.</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Telemetry</w:t>
            </w:r>
          </w:p>
          <w:p>
            <w:pPr>
              <w:spacing w:after="40" w:line="259" w:lineRule="auto"/>
            </w:pPr>
            <w:r>
              <w:rPr>
                <w:rFonts w:ascii="Aptos" w:hAnsi="Aptos" w:cs="Aptos"/>
                <w:b w:val="0"/>
                <w:i w:val="0"/>
                <w:color w:val="182028"/>
                <w:sz w:val="18"/>
              </w:rPr>
              <w:t>Wireless monitoring extends the BMS from protection hardware into a connected energy-storage system.</w:t>
            </w:r>
          </w:p>
        </w:tc>
      </w:tr>
    </w:tbl>
    <w:p>
      <w:pPr>
        <w:spacing w:after="100" w:line="259" w:lineRule="auto"/>
      </w:pPr>
    </w:p>
    <w:p>
      <w:pPr>
        <w:spacing w:after="100" w:line="259" w:lineRule="auto"/>
        <w:keepNext/>
      </w:pPr>
      <w:r>
        <w:rPr>
          <w:rFonts w:ascii="Aptos" w:hAnsi="Aptos" w:cs="Aptos"/>
          <w:b/>
          <w:color w:val="2F5F48"/>
          <w:sz w:val="17"/>
        </w:rPr>
        <w:t>4  |  SYSTEM ARCHITECTURE</w:t>
      </w:r>
    </w:p>
    <w:p>
      <w:pPr>
        <w:spacing w:after="100" w:line="259" w:lineRule="auto"/>
        <w:jc w:val="center"/>
      </w:pPr>
      <w:r>
        <w:drawing>
          <wp:inline xmlns:a="http://schemas.openxmlformats.org/drawingml/2006/main" xmlns:pic="http://schemas.openxmlformats.org/drawingml/2006/picture">
            <wp:extent cx="5394960" cy="3596640"/>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3596640"/>
                    </a:xfrm>
                    <a:prstGeom prst="rect"/>
                  </pic:spPr>
                </pic:pic>
              </a:graphicData>
            </a:graphic>
          </wp:inline>
        </w:drawing>
      </w:r>
    </w:p>
    <w:p>
      <w:pPr>
        <w:spacing w:after="100" w:line="259" w:lineRule="auto"/>
        <w:jc w:val="center"/>
      </w:pPr>
      <w:r>
        <w:rPr>
          <w:i/>
          <w:sz w:val="18"/>
        </w:rPr>
        <w:t>Fig. A. NOX Na-POD product form factor and mechanical design envelope developed for the proposed system.</w:t>
      </w:r>
    </w:p>
    <w:p>
      <w:pPr>
        <w:pStyle w:val="Heading1"/>
        <w:spacing w:before="200" w:after="100"/>
        <w:keepNext/>
      </w:pPr>
      <w:r>
        <w:rPr>
          <w:rFonts w:ascii="Aptos" w:hAnsi="Aptos" w:cs="Aptos"/>
          <w:b/>
          <w:color w:val="182028"/>
          <w:sz w:val="40"/>
        </w:rPr>
        <w:t>One pack, four coordinated subsystems</w:t>
      </w:r>
    </w:p>
    <w:p>
      <w:pPr>
        <w:spacing w:after="100" w:line="259" w:lineRule="auto"/>
        <w:jc w:val="center"/>
      </w:pPr>
      <w:r>
        <w:drawing>
          <wp:inline xmlns:a="http://schemas.openxmlformats.org/drawingml/2006/main" xmlns:pic="http://schemas.openxmlformats.org/drawingml/2006/picture">
            <wp:extent cx="5897880" cy="4109823"/>
            <wp:docPr id="3" name="Picture 3"/>
            <wp:cNvGraphicFramePr>
              <a:graphicFrameLocks noChangeAspect="1"/>
            </wp:cNvGraphicFramePr>
            <a:graphic>
              <a:graphicData uri="http://schemas.openxmlformats.org/drawingml/2006/picture">
                <pic:pic>
                  <pic:nvPicPr>
                    <pic:cNvPr id="0" name="2abd7775b9c31dbd94b8c6f302518dd06d4b51d2.png"/>
                    <pic:cNvPicPr/>
                  </pic:nvPicPr>
                  <pic:blipFill>
                    <a:blip r:embed="rId13"/>
                    <a:stretch>
                      <a:fillRect/>
                    </a:stretch>
                  </pic:blipFill>
                  <pic:spPr>
                    <a:xfrm>
                      <a:off x="0" y="0"/>
                      <a:ext cx="5897880" cy="4109823"/>
                    </a:xfrm>
                    <a:prstGeom prst="rect"/>
                  </pic:spPr>
                </pic:pic>
              </a:graphicData>
            </a:graphic>
          </wp:inline>
        </w:drawing>
      </w:r>
    </w:p>
    <w:p>
      <w:pPr>
        <w:spacing w:after="100" w:line="259" w:lineRule="auto"/>
        <w:jc w:val="center"/>
      </w:pPr>
      <w:r>
        <w:rPr>
          <w:rFonts w:ascii="Aptos" w:hAnsi="Aptos" w:cs="Aptos"/>
          <w:b w:val="0"/>
          <w:i/>
          <w:color w:val="56616B"/>
          <w:sz w:val="17"/>
        </w:rPr>
        <w:t>Architecture of NOX Na-POD: electrochemical, mechanical, passive thermal, and embedded BMS subsystems.</w:t>
      </w:r>
    </w:p>
    <w:p>
      <w:pPr>
        <w:spacing w:after="100" w:line="259" w:lineRule="auto"/>
        <w:ind w:firstLine="259"/>
      </w:pPr>
      <w:r>
        <w:rPr>
          <w:rFonts w:ascii="Aptos" w:hAnsi="Aptos" w:cs="Aptos"/>
          <w:b w:val="0"/>
          <w:i w:val="0"/>
          <w:color w:val="182028"/>
          <w:sz w:val="21"/>
        </w:rPr>
        <w:t>The architecture is intentionally cross-coupled. Cell expansion is a mechanical problem; temperature changes the expansion behavior and affects electrical performance; the BMS observes current and thermal state; and the charging interface determines whether the pack can coexist with an existing residential inverter. The design therefore treats the battery as one system rather than a cell pack with accessories.</w:t>
      </w:r>
    </w:p>
    <w:p>
      <w:pPr>
        <w:pStyle w:val="Heading2"/>
        <w:spacing w:before="200" w:after="100"/>
        <w:keepNext/>
      </w:pPr>
      <w:r>
        <w:rPr>
          <w:rFonts w:ascii="Aptos" w:hAnsi="Aptos" w:cs="Aptos"/>
          <w:b/>
          <w:color w:val="182028"/>
          <w:sz w:val="26"/>
        </w:rPr>
        <w:t>Power and information paths</w:t>
      </w:r>
    </w:p>
    <w:p>
      <w:pPr>
        <w:pStyle w:val="ListBullet"/>
        <w:spacing w:after="80"/>
        <w:ind w:left="360" w:hanging="173"/>
      </w:pPr>
      <w:r>
        <w:rPr>
          <w:rFonts w:ascii="Aptos" w:hAnsi="Aptos" w:cs="Aptos"/>
          <w:b w:val="0"/>
          <w:i w:val="0"/>
          <w:color w:val="182028"/>
          <w:sz w:val="20"/>
        </w:rPr>
        <w:t>Power path: 4S sodium-ion cell stack → compression and enclosure → protected pack output → inverter load.</w:t>
      </w:r>
    </w:p>
    <w:p>
      <w:pPr>
        <w:pStyle w:val="ListBullet"/>
        <w:spacing w:after="80"/>
        <w:ind w:left="360" w:hanging="173"/>
      </w:pPr>
      <w:r>
        <w:rPr>
          <w:rFonts w:ascii="Aptos" w:hAnsi="Aptos" w:cs="Aptos"/>
          <w:b w:val="0"/>
          <w:i w:val="0"/>
          <w:color w:val="182028"/>
          <w:sz w:val="20"/>
        </w:rPr>
        <w:t>Thermal path: cell heat → vertical chimney channels + PCM buffer → passive heat rejection.</w:t>
      </w:r>
    </w:p>
    <w:p>
      <w:pPr>
        <w:pStyle w:val="ListBullet"/>
        <w:spacing w:after="80"/>
        <w:ind w:left="360" w:hanging="173"/>
      </w:pPr>
      <w:r>
        <w:rPr>
          <w:rFonts w:ascii="Aptos" w:hAnsi="Aptos" w:cs="Aptos"/>
          <w:b w:val="0"/>
          <w:i w:val="0"/>
          <w:color w:val="182028"/>
          <w:sz w:val="20"/>
        </w:rPr>
        <w:t>Measurement path: cell voltage/current/temperature/impedance-related signals → ESP32 BMS → protection logic + telemetry.</w:t>
      </w:r>
    </w:p>
    <w:p>
      <w:pPr>
        <w:pStyle w:val="ListBullet"/>
        <w:spacing w:after="80"/>
        <w:ind w:left="360" w:hanging="173"/>
      </w:pPr>
      <w:r>
        <w:rPr>
          <w:rFonts w:ascii="Aptos" w:hAnsi="Aptos" w:cs="Aptos"/>
          <w:b w:val="0"/>
          <w:i w:val="0"/>
          <w:color w:val="182028"/>
          <w:sz w:val="20"/>
        </w:rPr>
        <w:t>Charging boundary: controlled charging source → BMS-compatible profile → pack.</w:t>
      </w:r>
    </w:p>
    <w:p>
      <w:pPr>
        <w:spacing w:after="100" w:line="259" w:lineRule="auto"/>
        <w:keepNext/>
      </w:pPr>
      <w:r>
        <w:rPr>
          <w:rFonts w:ascii="Aptos" w:hAnsi="Aptos" w:cs="Aptos"/>
          <w:b/>
          <w:color w:val="2F5F48"/>
          <w:sz w:val="17"/>
        </w:rPr>
        <w:t>5  |  ELECTROCHEMICAL SUBSYSTEM</w:t>
      </w:r>
    </w:p>
    <w:p>
      <w:pPr>
        <w:pStyle w:val="Heading1"/>
        <w:spacing w:before="200" w:after="100"/>
        <w:keepNext/>
      </w:pPr>
      <w:r>
        <w:rPr>
          <w:rFonts w:ascii="Aptos" w:hAnsi="Aptos" w:cs="Aptos"/>
          <w:b/>
          <w:color w:val="182028"/>
          <w:sz w:val="40"/>
        </w:rPr>
        <w:t>4S sodium-ion pack configuration</w:t>
      </w:r>
    </w:p>
    <w:p>
      <w:pPr>
        <w:spacing w:after="100" w:line="259" w:lineRule="auto"/>
        <w:ind w:firstLine="259"/>
      </w:pPr>
      <w:r>
        <w:rPr>
          <w:rFonts w:ascii="Aptos" w:hAnsi="Aptos" w:cs="Aptos"/>
          <w:b w:val="0"/>
          <w:i w:val="0"/>
          <w:color w:val="182028"/>
          <w:sz w:val="21"/>
        </w:rPr>
        <w:t>NOX Na-POD uses a four-cell series configuration built around commercially available sodium-ion prismatic cells. The design target is 3.0–3.2 V nominal per cell, giving a 12.8 V nominal pack, with an equivalent capacity target of 150 Ah.</w:t>
      </w:r>
    </w:p>
    <w:tbl>
      <w:tblPr>
        <w:tblW w:type="auto" w:w="0"/>
        <w:jc w:val="center"/>
        <w:tblLayout w:type="fixed"/>
        <w:tblLook w:firstColumn="1" w:firstRow="1" w:lastColumn="0" w:lastRow="0" w:noHBand="0" w:noVBand="1" w:val="04A0"/>
      </w:tblPr>
      <w:tblGrid>
        <w:gridCol w:w="9576"/>
      </w:tblGrid>
      <w:tr>
        <w:trPr>
          <w:cantSplit/>
        </w:trPr>
        <w:tc>
          <w:tcPr>
            <w:tcW w:type="dxa" w:w="9835"/>
            <w:shd w:fill="EEF5F1"/>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2F5F48"/>
                <w:sz w:val="18"/>
              </w:rPr>
              <w:t>DERIVED QUANTITY</w:t>
            </w:r>
          </w:p>
          <w:p>
            <w:pPr>
              <w:spacing w:after="40" w:line="259" w:lineRule="auto"/>
            </w:pPr>
            <w:r>
              <w:rPr>
                <w:rFonts w:ascii="Aptos" w:hAnsi="Aptos" w:cs="Aptos"/>
                <w:b w:val="0"/>
                <w:i w:val="0"/>
                <w:color w:val="182028"/>
                <w:sz w:val="18"/>
              </w:rPr>
              <w:t>Nominal pack energy = 12.8 V × 150 Ah = 1,920 Wh = 1.92 kWh.</w:t>
            </w:r>
          </w:p>
        </w:tc>
      </w:tr>
    </w:tbl>
    <w:p>
      <w:pPr>
        <w:spacing w:after="100" w:line="259" w:lineRule="auto"/>
      </w:pPr>
    </w:p>
    <w:p>
      <w:pPr>
        <w:pStyle w:val="Heading2"/>
        <w:spacing w:before="200" w:after="100"/>
        <w:keepNext/>
      </w:pPr>
      <w:r>
        <w:rPr>
          <w:rFonts w:ascii="Aptos" w:hAnsi="Aptos" w:cs="Aptos"/>
          <w:b/>
          <w:color w:val="182028"/>
          <w:sz w:val="26"/>
        </w:rPr>
        <w:t>Why a system-level treatment is needed</w:t>
      </w:r>
    </w:p>
    <w:p>
      <w:pPr>
        <w:pStyle w:val="ListBullet"/>
        <w:spacing w:after="80"/>
        <w:ind w:left="360" w:hanging="173"/>
      </w:pPr>
      <w:r>
        <w:rPr>
          <w:rFonts w:ascii="Aptos" w:hAnsi="Aptos" w:cs="Aptos"/>
          <w:b w:val="0"/>
          <w:i w:val="0"/>
          <w:color w:val="182028"/>
          <w:sz w:val="20"/>
        </w:rPr>
        <w:t>Flat discharge behavior reduces the reliability of voltage-only SOC estimation.</w:t>
      </w:r>
    </w:p>
    <w:p>
      <w:pPr>
        <w:pStyle w:val="ListBullet"/>
        <w:spacing w:after="80"/>
        <w:ind w:left="360" w:hanging="173"/>
      </w:pPr>
      <w:r>
        <w:rPr>
          <w:rFonts w:ascii="Aptos" w:hAnsi="Aptos" w:cs="Aptos"/>
          <w:b w:val="0"/>
          <w:i w:val="0"/>
          <w:color w:val="182028"/>
          <w:sz w:val="20"/>
        </w:rPr>
        <w:t>Dimensional change during cycling creates a mechanical interface problem at the pack level.</w:t>
      </w:r>
    </w:p>
    <w:p>
      <w:pPr>
        <w:pStyle w:val="ListBullet"/>
        <w:spacing w:after="80"/>
        <w:ind w:left="360" w:hanging="173"/>
      </w:pPr>
      <w:r>
        <w:rPr>
          <w:rFonts w:ascii="Aptos" w:hAnsi="Aptos" w:cs="Aptos"/>
          <w:b w:val="0"/>
          <w:i w:val="0"/>
          <w:color w:val="182028"/>
          <w:sz w:val="20"/>
        </w:rPr>
        <w:t>High ambient temperatures can increase thermal stress and alter the mechanical operating point.</w:t>
      </w:r>
    </w:p>
    <w:p>
      <w:pPr>
        <w:pStyle w:val="ListBullet"/>
        <w:spacing w:after="80"/>
        <w:ind w:left="360" w:hanging="173"/>
      </w:pPr>
      <w:r>
        <w:rPr>
          <w:rFonts w:ascii="Aptos" w:hAnsi="Aptos" w:cs="Aptos"/>
          <w:b w:val="0"/>
          <w:i w:val="0"/>
          <w:color w:val="182028"/>
          <w:sz w:val="20"/>
        </w:rPr>
        <w:t>Residential inverter integration depends on charging behavior as much as battery voltage compatibility.</w:t>
      </w:r>
    </w:p>
    <w:p>
      <w:pPr>
        <w:pStyle w:val="Heading2"/>
        <w:spacing w:before="200" w:after="100"/>
        <w:keepNext/>
      </w:pPr>
      <w:r>
        <w:rPr>
          <w:rFonts w:ascii="Aptos" w:hAnsi="Aptos" w:cs="Aptos"/>
          <w:b/>
          <w:color w:val="182028"/>
          <w:sz w:val="26"/>
        </w:rPr>
        <w:t>Cell-level unknowns deliberately left open</w:t>
      </w:r>
    </w:p>
    <w:p>
      <w:pPr>
        <w:spacing w:after="100" w:line="259" w:lineRule="auto"/>
        <w:ind w:firstLine="259"/>
      </w:pPr>
      <w:r>
        <w:rPr>
          <w:rFonts w:ascii="Aptos" w:hAnsi="Aptos" w:cs="Aptos"/>
          <w:b w:val="0"/>
          <w:i w:val="0"/>
          <w:color w:val="182028"/>
          <w:sz w:val="21"/>
        </w:rPr>
        <w:t>This paper does not assign a vendor, cell model, internal resistance, cycle-life figure, or detailed charge/discharge window to the prismatic cells. Those parameters must be fixed during component selection and experimental validation so that the pack model remains tied to a specific cell platform.</w:t>
      </w:r>
    </w:p>
    <w:tbl>
      <w:tblPr>
        <w:tblW w:type="auto" w:w="0"/>
        <w:jc w:val="center"/>
        <w:tblLayout w:type="fixed"/>
        <w:tblLook w:firstColumn="1" w:firstRow="1" w:lastColumn="0" w:lastRow="0" w:noHBand="0" w:noVBand="1" w:val="04A0"/>
      </w:tblPr>
      <w:tblGrid>
        <w:gridCol w:w="9576"/>
      </w:tblGrid>
      <w:tr>
        <w:trPr>
          <w:cantSplit/>
        </w:trPr>
        <w:tc>
          <w:tcPr>
            <w:tcW w:type="dxa" w:w="9835"/>
            <w:shd w:fill="F5F7F8"/>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182028"/>
                <w:sz w:val="18"/>
              </w:rPr>
              <w:t>ENGINEERING BOUNDARY</w:t>
            </w:r>
          </w:p>
          <w:p>
            <w:pPr>
              <w:spacing w:after="40" w:line="259" w:lineRule="auto"/>
            </w:pPr>
            <w:r>
              <w:rPr>
                <w:rFonts w:ascii="Aptos" w:hAnsi="Aptos" w:cs="Aptos"/>
                <w:b w:val="0"/>
                <w:i w:val="0"/>
                <w:color w:val="182028"/>
                <w:sz w:val="18"/>
              </w:rPr>
              <w:t>The 150 Ah and 1.92 kWh values are architecture-level targets, not a claim that every sodium-ion cell with the same nominal label will deliver the same usable energy.</w:t>
            </w:r>
          </w:p>
        </w:tc>
      </w:tr>
    </w:tbl>
    <w:p>
      <w:pPr>
        <w:spacing w:after="100" w:line="259" w:lineRule="auto"/>
      </w:pPr>
    </w:p>
    <w:p>
      <w:pPr>
        <w:spacing w:after="100" w:line="259" w:lineRule="auto"/>
        <w:keepNext/>
      </w:pPr>
      <w:r>
        <w:rPr>
          <w:rFonts w:ascii="Aptos" w:hAnsi="Aptos" w:cs="Aptos"/>
          <w:b/>
          <w:color w:val="2F5F48"/>
          <w:sz w:val="17"/>
        </w:rPr>
        <w:t>6  |  MECHANICAL COMPLIANCE ENGINEERING</w:t>
      </w:r>
    </w:p>
    <w:p>
      <w:pPr>
        <w:spacing w:after="100" w:line="259" w:lineRule="auto"/>
        <w:jc w:val="center"/>
      </w:pPr>
      <w:r>
        <w:drawing>
          <wp:inline xmlns:a="http://schemas.openxmlformats.org/drawingml/2006/main" xmlns:pic="http://schemas.openxmlformats.org/drawingml/2006/picture">
            <wp:extent cx="5394960" cy="8087596"/>
            <wp:docPr id="13" name="Picture 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8087596"/>
                    </a:xfrm>
                    <a:prstGeom prst="rect"/>
                  </pic:spPr>
                </pic:pic>
              </a:graphicData>
            </a:graphic>
          </wp:inline>
        </w:drawing>
      </w:r>
    </w:p>
    <w:p>
      <w:pPr>
        <w:spacing w:after="100" w:line="259" w:lineRule="auto"/>
        <w:jc w:val="center"/>
      </w:pPr>
      <w:r>
        <w:rPr>
          <w:i/>
          <w:sz w:val="18"/>
        </w:rPr>
        <w:t>Fig. B. Integrated NOX Na-POD engineering design sheet showing electrical, mechanical, and passive thermal design elements.</w:t>
      </w:r>
    </w:p>
    <w:p>
      <w:pPr>
        <w:pStyle w:val="Heading1"/>
        <w:spacing w:before="200" w:after="100"/>
        <w:keepNext/>
      </w:pPr>
      <w:r>
        <w:rPr>
          <w:rFonts w:ascii="Aptos" w:hAnsi="Aptos" w:cs="Aptos"/>
          <w:b/>
          <w:color w:val="182028"/>
          <w:sz w:val="40"/>
        </w:rPr>
        <w:t>Compression that can move</w:t>
      </w:r>
    </w:p>
    <w:p>
      <w:pPr>
        <w:spacing w:after="100" w:line="259" w:lineRule="auto"/>
        <w:jc w:val="center"/>
      </w:pPr>
      <w:r>
        <w:drawing>
          <wp:inline xmlns:a="http://schemas.openxmlformats.org/drawingml/2006/main" xmlns:pic="http://schemas.openxmlformats.org/drawingml/2006/picture">
            <wp:extent cx="5852160" cy="3655971"/>
            <wp:docPr id="4" name="Picture 4"/>
            <wp:cNvGraphicFramePr>
              <a:graphicFrameLocks noChangeAspect="1"/>
            </wp:cNvGraphicFramePr>
            <a:graphic>
              <a:graphicData uri="http://schemas.openxmlformats.org/drawingml/2006/picture">
                <pic:pic>
                  <pic:nvPicPr>
                    <pic:cNvPr id="0" name="5305113865d4a71209c2a053a0d07ad4fe8a7265.png"/>
                    <pic:cNvPicPr/>
                  </pic:nvPicPr>
                  <pic:blipFill>
                    <a:blip r:embed="rId14"/>
                    <a:stretch>
                      <a:fillRect/>
                    </a:stretch>
                  </pic:blipFill>
                  <pic:spPr>
                    <a:xfrm>
                      <a:off x="0" y="0"/>
                      <a:ext cx="5852160" cy="3655971"/>
                    </a:xfrm>
                    <a:prstGeom prst="rect"/>
                  </pic:spPr>
                </pic:pic>
              </a:graphicData>
            </a:graphic>
          </wp:inline>
        </w:drawing>
      </w:r>
    </w:p>
    <w:p>
      <w:pPr>
        <w:spacing w:after="100" w:line="259" w:lineRule="auto"/>
        <w:jc w:val="center"/>
      </w:pPr>
      <w:r>
        <w:rPr>
          <w:rFonts w:ascii="Aptos" w:hAnsi="Aptos" w:cs="Aptos"/>
          <w:b w:val="0"/>
          <w:i/>
          <w:color w:val="56616B"/>
          <w:sz w:val="17"/>
        </w:rPr>
        <w:t>Mechanical compliance stack: compression plates, Belleville spring stack, silicone tolerance layer, fiberglass wrap, and 4S cell stack.</w:t>
      </w:r>
    </w:p>
    <w:p>
      <w:pPr>
        <w:pStyle w:val="Heading2"/>
        <w:spacing w:before="200" w:after="100"/>
        <w:keepNext/>
      </w:pPr>
      <w:r>
        <w:rPr>
          <w:rFonts w:ascii="Aptos" w:hAnsi="Aptos" w:cs="Aptos"/>
          <w:b/>
          <w:color w:val="182028"/>
          <w:sz w:val="26"/>
        </w:rPr>
        <w:t>Function allocation</w:t>
      </w:r>
    </w:p>
    <w:p>
      <w:pPr>
        <w:pStyle w:val="ListBullet"/>
        <w:spacing w:after="80"/>
        <w:ind w:left="360" w:hanging="173"/>
      </w:pPr>
      <w:r>
        <w:rPr>
          <w:rFonts w:ascii="Aptos" w:hAnsi="Aptos" w:cs="Aptos"/>
          <w:b w:val="0"/>
          <w:i w:val="0"/>
          <w:color w:val="182028"/>
          <w:sz w:val="20"/>
        </w:rPr>
        <w:t>Fiberglass wrap — cell confinement and structural isolation.</w:t>
      </w:r>
    </w:p>
    <w:p>
      <w:pPr>
        <w:pStyle w:val="ListBullet"/>
        <w:spacing w:after="80"/>
        <w:ind w:left="360" w:hanging="173"/>
      </w:pPr>
      <w:r>
        <w:rPr>
          <w:rFonts w:ascii="Aptos" w:hAnsi="Aptos" w:cs="Aptos"/>
          <w:b w:val="0"/>
          <w:i w:val="0"/>
          <w:color w:val="182028"/>
          <w:sz w:val="20"/>
        </w:rPr>
        <w:t>Silicone layer — tolerance compensation across dimensional variation and interfaces.</w:t>
      </w:r>
    </w:p>
    <w:p>
      <w:pPr>
        <w:pStyle w:val="ListBullet"/>
        <w:spacing w:after="80"/>
        <w:ind w:left="360" w:hanging="173"/>
      </w:pPr>
      <w:r>
        <w:rPr>
          <w:rFonts w:ascii="Aptos" w:hAnsi="Aptos" w:cs="Aptos"/>
          <w:b w:val="0"/>
          <w:i w:val="0"/>
          <w:color w:val="182028"/>
          <w:sz w:val="20"/>
        </w:rPr>
        <w:t>Belleville stack — approximately 500 kgf design preload, allowing controlled expansion travel.</w:t>
      </w:r>
    </w:p>
    <w:p>
      <w:pPr>
        <w:pStyle w:val="ListBullet"/>
        <w:spacing w:after="80"/>
        <w:ind w:left="360" w:hanging="173"/>
      </w:pPr>
      <w:r>
        <w:rPr>
          <w:rFonts w:ascii="Aptos" w:hAnsi="Aptos" w:cs="Aptos"/>
          <w:b w:val="0"/>
          <w:i w:val="0"/>
          <w:color w:val="182028"/>
          <w:sz w:val="20"/>
        </w:rPr>
        <w:t>SS304 plates — distribute compressive load over the cell-stack faces.</w:t>
      </w:r>
    </w:p>
    <w:tbl>
      <w:tblPr>
        <w:tblW w:type="auto" w:w="0"/>
        <w:jc w:val="center"/>
        <w:tblLayout w:type="fixed"/>
        <w:tblLook w:firstColumn="1" w:firstRow="1" w:lastColumn="0" w:lastRow="0" w:noHBand="0" w:noVBand="1" w:val="04A0"/>
      </w:tblPr>
      <w:tblGrid>
        <w:gridCol w:w="9576"/>
      </w:tblGrid>
      <w:tr>
        <w:trPr>
          <w:cantSplit/>
        </w:trPr>
        <w:tc>
          <w:tcPr>
            <w:tcW w:type="dxa" w:w="9835"/>
            <w:shd w:fill="EEF5F1"/>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2F5F48"/>
                <w:sz w:val="18"/>
              </w:rPr>
              <w:t>MECHANICAL RATIONALE</w:t>
            </w:r>
          </w:p>
          <w:p>
            <w:pPr>
              <w:spacing w:after="40" w:line="259" w:lineRule="auto"/>
            </w:pPr>
            <w:r>
              <w:rPr>
                <w:rFonts w:ascii="Aptos" w:hAnsi="Aptos" w:cs="Aptos"/>
                <w:b w:val="0"/>
                <w:i w:val="0"/>
                <w:color w:val="182028"/>
                <w:sz w:val="18"/>
              </w:rPr>
              <w:t>Disc springs generate high force over short axial travel and can be configured to provide a controlled force-deflection response. That behavior is used here to absorb expansion without relying on a rigid spacer.</w:t>
            </w:r>
          </w:p>
        </w:tc>
      </w:tr>
    </w:tbl>
    <w:p>
      <w:pPr>
        <w:spacing w:after="100" w:line="259" w:lineRule="auto"/>
      </w:pPr>
    </w:p>
    <w:p>
      <w:pPr>
        <w:spacing w:after="100" w:line="259" w:lineRule="auto"/>
        <w:keepNext/>
      </w:pPr>
      <w:r>
        <w:rPr>
          <w:rFonts w:ascii="Aptos" w:hAnsi="Aptos" w:cs="Aptos"/>
          <w:b/>
          <w:color w:val="2F5F48"/>
          <w:sz w:val="17"/>
        </w:rPr>
        <w:t>6.2  |  FORCE-DEFLECTION CONCEPT</w:t>
      </w:r>
    </w:p>
    <w:p>
      <w:pPr>
        <w:pStyle w:val="Heading1"/>
        <w:spacing w:before="200" w:after="100"/>
        <w:keepNext/>
      </w:pPr>
      <w:r>
        <w:rPr>
          <w:rFonts w:ascii="Aptos" w:hAnsi="Aptos" w:cs="Aptos"/>
          <w:b/>
          <w:color w:val="182028"/>
          <w:sz w:val="40"/>
        </w:rPr>
        <w:t>The spring stack is the compliance mechanism</w:t>
      </w:r>
    </w:p>
    <w:p>
      <w:pPr>
        <w:spacing w:after="100" w:line="259" w:lineRule="auto"/>
        <w:jc w:val="center"/>
      </w:pPr>
      <w:r>
        <w:drawing>
          <wp:inline xmlns:a="http://schemas.openxmlformats.org/drawingml/2006/main" xmlns:pic="http://schemas.openxmlformats.org/drawingml/2006/picture">
            <wp:extent cx="5806440" cy="3710717"/>
            <wp:docPr id="5" name="Picture 5"/>
            <wp:cNvGraphicFramePr>
              <a:graphicFrameLocks noChangeAspect="1"/>
            </wp:cNvGraphicFramePr>
            <a:graphic>
              <a:graphicData uri="http://schemas.openxmlformats.org/drawingml/2006/picture">
                <pic:pic>
                  <pic:nvPicPr>
                    <pic:cNvPr id="0" name="d868ef341b5985c39470b3c17e15105d56ea06a5.png"/>
                    <pic:cNvPicPr/>
                  </pic:nvPicPr>
                  <pic:blipFill>
                    <a:blip r:embed="rId15"/>
                    <a:stretch>
                      <a:fillRect/>
                    </a:stretch>
                  </pic:blipFill>
                  <pic:spPr>
                    <a:xfrm>
                      <a:off x="0" y="0"/>
                      <a:ext cx="5806440" cy="3710717"/>
                    </a:xfrm>
                    <a:prstGeom prst="rect"/>
                  </pic:spPr>
                </pic:pic>
              </a:graphicData>
            </a:graphic>
          </wp:inline>
        </w:drawing>
      </w:r>
    </w:p>
    <w:p>
      <w:pPr>
        <w:spacing w:after="100" w:line="259" w:lineRule="auto"/>
        <w:jc w:val="center"/>
      </w:pPr>
      <w:r>
        <w:rPr>
          <w:rFonts w:ascii="Aptos" w:hAnsi="Aptos" w:cs="Aptos"/>
          <w:b w:val="0"/>
          <w:i/>
          <w:color w:val="56616B"/>
          <w:sz w:val="17"/>
        </w:rPr>
        <w:t>Conceptual force-deflection comparison. The plotted curves are illustrative design behavior, not measured pack data.</w:t>
      </w:r>
    </w:p>
    <w:p>
      <w:pPr>
        <w:spacing w:after="100" w:line="259" w:lineRule="auto"/>
        <w:ind w:firstLine="259"/>
      </w:pPr>
      <w:r>
        <w:rPr>
          <w:rFonts w:ascii="Aptos" w:hAnsi="Aptos" w:cs="Aptos"/>
          <w:b w:val="0"/>
          <w:i w:val="0"/>
          <w:color w:val="182028"/>
          <w:sz w:val="21"/>
        </w:rPr>
        <w:t>The research target is a preload of approximately 500 kgf. Using standard gravity, 500 kgf corresponds to 4.903 kN. The important engineering question is not the preload number alone; it is the assembled stack stiffness, usable deflection, face pressure, and preload retention over repeated expansion cycles.</w:t>
      </w:r>
    </w:p>
    <w:p>
      <w:pPr>
        <w:spacing w:after="100" w:line="259" w:lineRule="auto"/>
        <w:jc w:val="center"/>
      </w:pPr>
      <w:r>
        <w:rPr>
          <w:rFonts w:ascii="Cambria Math" w:hAnsi="Cambria Math" w:cs="Aptos"/>
          <w:i/>
          <w:color w:val="182028"/>
          <w:sz w:val="21"/>
        </w:rPr>
        <w:t>F = [4E / (1 − ν²)] · [t⁴ / (K₁D₀²)] · [(f/t)³ − (f/t)²(h₀/t) + (f/t)]</w:t>
      </w:r>
    </w:p>
    <w:p>
      <w:pPr>
        <w:pStyle w:val="Heading2"/>
        <w:spacing w:before="200" w:after="100"/>
        <w:keepNext/>
      </w:pPr>
      <w:r>
        <w:rPr>
          <w:rFonts w:ascii="Aptos" w:hAnsi="Aptos" w:cs="Aptos"/>
          <w:b/>
          <w:color w:val="182028"/>
          <w:sz w:val="26"/>
        </w:rPr>
        <w:t>Critical characterization items</w:t>
      </w:r>
    </w:p>
    <w:tbl>
      <w:tblPr>
        <w:tblW w:type="auto" w:w="0"/>
        <w:jc w:val="center"/>
        <w:tblLayout w:type="fixed"/>
        <w:tblLook w:firstColumn="1" w:firstRow="1" w:lastColumn="0" w:lastRow="0" w:noHBand="0" w:noVBand="1" w:val="04A0"/>
      </w:tblPr>
      <w:tblGrid>
        <w:gridCol w:w="4917"/>
        <w:gridCol w:w="4917"/>
      </w:tblGrid>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Preload verification</w:t>
            </w:r>
          </w:p>
          <w:p>
            <w:pPr>
              <w:spacing w:after="40" w:line="259" w:lineRule="auto"/>
            </w:pPr>
            <w:r>
              <w:rPr>
                <w:rFonts w:ascii="Aptos" w:hAnsi="Aptos" w:cs="Aptos"/>
                <w:b w:val="0"/>
                <w:i w:val="0"/>
                <w:color w:val="182028"/>
                <w:sz w:val="18"/>
              </w:rPr>
              <w:t>Measure actual assembled force and confirm the compression range of the cell stack.</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Force-deflection curve</w:t>
            </w:r>
          </w:p>
          <w:p>
            <w:pPr>
              <w:spacing w:after="40" w:line="259" w:lineRule="auto"/>
            </w:pPr>
            <w:r>
              <w:rPr>
                <w:rFonts w:ascii="Aptos" w:hAnsi="Aptos" w:cs="Aptos"/>
                <w:b w:val="0"/>
                <w:i w:val="0"/>
                <w:color w:val="182028"/>
                <w:sz w:val="18"/>
              </w:rPr>
              <w:t>Characterize spring-stack response under the same geometry used in the enclosure.</w:t>
            </w:r>
          </w:p>
        </w:tc>
      </w:tr>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Face-pressure distribution</w:t>
            </w:r>
          </w:p>
          <w:p>
            <w:pPr>
              <w:spacing w:after="40" w:line="259" w:lineRule="auto"/>
            </w:pPr>
            <w:r>
              <w:rPr>
                <w:rFonts w:ascii="Aptos" w:hAnsi="Aptos" w:cs="Aptos"/>
                <w:b w:val="0"/>
                <w:i w:val="0"/>
                <w:color w:val="182028"/>
                <w:sz w:val="18"/>
              </w:rPr>
              <w:t>Verify that load is shared across the cell faces rather than concentrated at local interfaces.</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Cycle durability</w:t>
            </w:r>
          </w:p>
          <w:p>
            <w:pPr>
              <w:spacing w:after="40" w:line="259" w:lineRule="auto"/>
            </w:pPr>
            <w:r>
              <w:rPr>
                <w:rFonts w:ascii="Aptos" w:hAnsi="Aptos" w:cs="Aptos"/>
                <w:b w:val="0"/>
                <w:i w:val="0"/>
                <w:color w:val="182028"/>
                <w:sz w:val="18"/>
              </w:rPr>
              <w:t>Measure preload retention and dimensional response after repeated charge-discharge cycles.</w:t>
            </w:r>
          </w:p>
        </w:tc>
      </w:tr>
    </w:tbl>
    <w:p>
      <w:pPr>
        <w:spacing w:after="100" w:line="259" w:lineRule="auto"/>
      </w:pPr>
    </w:p>
    <w:p>
      <w:pPr>
        <w:spacing w:after="100" w:line="259" w:lineRule="auto"/>
        <w:keepNext/>
      </w:pPr>
      <w:r>
        <w:rPr>
          <w:rFonts w:ascii="Aptos" w:hAnsi="Aptos" w:cs="Aptos"/>
          <w:b/>
          <w:color w:val="2F5F48"/>
          <w:sz w:val="17"/>
        </w:rPr>
        <w:t>7  |  PASSIVE THERMAL MANAGEMENT</w:t>
      </w:r>
    </w:p>
    <w:p>
      <w:pPr>
        <w:pStyle w:val="Heading1"/>
        <w:spacing w:before="200" w:after="100"/>
        <w:keepNext/>
      </w:pPr>
      <w:r>
        <w:rPr>
          <w:rFonts w:ascii="Aptos" w:hAnsi="Aptos" w:cs="Aptos"/>
          <w:b/>
          <w:color w:val="182028"/>
          <w:sz w:val="40"/>
        </w:rPr>
        <w:t>Move heat before it becomes a control problem</w:t>
      </w:r>
    </w:p>
    <w:p>
      <w:pPr>
        <w:spacing w:after="100" w:line="259" w:lineRule="auto"/>
        <w:jc w:val="center"/>
      </w:pPr>
      <w:r>
        <w:drawing>
          <wp:inline xmlns:a="http://schemas.openxmlformats.org/drawingml/2006/main" xmlns:pic="http://schemas.openxmlformats.org/drawingml/2006/picture">
            <wp:extent cx="5897880" cy="2775228"/>
            <wp:docPr id="6" name="Picture 6"/>
            <wp:cNvGraphicFramePr>
              <a:graphicFrameLocks noChangeAspect="1"/>
            </wp:cNvGraphicFramePr>
            <a:graphic>
              <a:graphicData uri="http://schemas.openxmlformats.org/drawingml/2006/picture">
                <pic:pic>
                  <pic:nvPicPr>
                    <pic:cNvPr id="0" name="de461744f1bdae2e9695d95b130b71e33705e470.png"/>
                    <pic:cNvPicPr/>
                  </pic:nvPicPr>
                  <pic:blipFill>
                    <a:blip r:embed="rId16"/>
                    <a:stretch>
                      <a:fillRect/>
                    </a:stretch>
                  </pic:blipFill>
                  <pic:spPr>
                    <a:xfrm>
                      <a:off x="0" y="0"/>
                      <a:ext cx="5897880" cy="2775228"/>
                    </a:xfrm>
                    <a:prstGeom prst="rect"/>
                  </pic:spPr>
                </pic:pic>
              </a:graphicData>
            </a:graphic>
          </wp:inline>
        </w:drawing>
      </w:r>
    </w:p>
    <w:p>
      <w:pPr>
        <w:spacing w:after="100" w:line="259" w:lineRule="auto"/>
        <w:jc w:val="center"/>
      </w:pPr>
      <w:r>
        <w:rPr>
          <w:rFonts w:ascii="Aptos" w:hAnsi="Aptos" w:cs="Aptos"/>
          <w:b w:val="0"/>
          <w:i/>
          <w:color w:val="56616B"/>
          <w:sz w:val="17"/>
        </w:rPr>
        <w:t>Passive thermal management concept: natural-convection chimney channels combined with PCM latent-heat buffering.</w:t>
      </w:r>
    </w:p>
    <w:p>
      <w:pPr>
        <w:spacing w:after="100" w:line="259" w:lineRule="auto"/>
        <w:ind w:firstLine="259"/>
      </w:pPr>
      <w:r>
        <w:rPr>
          <w:rFonts w:ascii="Aptos" w:hAnsi="Aptos" w:cs="Aptos"/>
          <w:b w:val="0"/>
          <w:i w:val="0"/>
          <w:color w:val="182028"/>
          <w:sz w:val="21"/>
        </w:rPr>
        <w:t>The thermal design has two layers. First, approximately 1 cm vertical channels create a passive buoyancy path so heated air can rise and cooler air can replace it. Second, a PCM layer with a target melting window of 35–45 °C provides latent heat absorption during temperature excursions.</w:t>
      </w:r>
    </w:p>
    <w:p>
      <w:pPr>
        <w:spacing w:after="100" w:line="259" w:lineRule="auto"/>
        <w:jc w:val="center"/>
      </w:pPr>
      <w:r>
        <w:rPr>
          <w:rFonts w:ascii="Cambria Math" w:hAnsi="Cambria Math" w:cs="Aptos"/>
          <w:i/>
          <w:color w:val="182028"/>
          <w:sz w:val="21"/>
        </w:rPr>
        <w:t>Nu = C(Gr·Pr)ⁿ</w:t>
      </w:r>
    </w:p>
    <w:p>
      <w:pPr>
        <w:pStyle w:val="Heading2"/>
        <w:spacing w:before="200" w:after="100"/>
        <w:keepNext/>
      </w:pPr>
      <w:r>
        <w:rPr>
          <w:rFonts w:ascii="Aptos" w:hAnsi="Aptos" w:cs="Aptos"/>
          <w:b/>
          <w:color w:val="182028"/>
          <w:sz w:val="26"/>
        </w:rPr>
        <w:t>Why the two mechanisms are combined</w:t>
      </w:r>
    </w:p>
    <w:p>
      <w:pPr>
        <w:pStyle w:val="ListBullet"/>
        <w:spacing w:after="80"/>
        <w:ind w:left="360" w:hanging="173"/>
      </w:pPr>
      <w:r>
        <w:rPr>
          <w:rFonts w:ascii="Aptos" w:hAnsi="Aptos" w:cs="Aptos"/>
          <w:b w:val="0"/>
          <w:i w:val="0"/>
          <w:color w:val="182028"/>
          <w:sz w:val="20"/>
        </w:rPr>
        <w:t>Chimneys provide continuous passive heat transport while the temperature gradient is favorable.</w:t>
      </w:r>
    </w:p>
    <w:p>
      <w:pPr>
        <w:pStyle w:val="ListBullet"/>
        <w:spacing w:after="80"/>
        <w:ind w:left="360" w:hanging="173"/>
      </w:pPr>
      <w:r>
        <w:rPr>
          <w:rFonts w:ascii="Aptos" w:hAnsi="Aptos" w:cs="Aptos"/>
          <w:b w:val="0"/>
          <w:i w:val="0"/>
          <w:color w:val="182028"/>
          <w:sz w:val="20"/>
        </w:rPr>
        <w:t>PCM provides short-term thermal buffering when the cell temperature enters the target phase-change range.</w:t>
      </w:r>
    </w:p>
    <w:p>
      <w:pPr>
        <w:pStyle w:val="ListBullet"/>
        <w:spacing w:after="80"/>
        <w:ind w:left="360" w:hanging="173"/>
      </w:pPr>
      <w:r>
        <w:rPr>
          <w:rFonts w:ascii="Aptos" w:hAnsi="Aptos" w:cs="Aptos"/>
          <w:b w:val="0"/>
          <w:i w:val="0"/>
          <w:color w:val="182028"/>
          <w:sz w:val="20"/>
        </w:rPr>
        <w:t>No active fan is required, removing fan power draw and one moving-component failure mode.</w:t>
      </w:r>
    </w:p>
    <w:tbl>
      <w:tblPr>
        <w:tblW w:type="auto" w:w="0"/>
        <w:jc w:val="center"/>
        <w:tblLayout w:type="fixed"/>
        <w:tblLook w:firstColumn="1" w:firstRow="1" w:lastColumn="0" w:lastRow="0" w:noHBand="0" w:noVBand="1" w:val="04A0"/>
      </w:tblPr>
      <w:tblGrid>
        <w:gridCol w:w="9576"/>
      </w:tblGrid>
      <w:tr>
        <w:trPr>
          <w:cantSplit/>
        </w:trPr>
        <w:tc>
          <w:tcPr>
            <w:tcW w:type="dxa" w:w="9835"/>
            <w:shd w:fill="F5F7F8"/>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182028"/>
                <w:sz w:val="18"/>
              </w:rPr>
              <w:t>THERMAL BOUNDARY</w:t>
            </w:r>
          </w:p>
          <w:p>
            <w:pPr>
              <w:spacing w:after="40" w:line="259" w:lineRule="auto"/>
            </w:pPr>
            <w:r>
              <w:rPr>
                <w:rFonts w:ascii="Aptos" w:hAnsi="Aptos" w:cs="Aptos"/>
                <w:b w:val="0"/>
                <w:i w:val="0"/>
                <w:color w:val="182028"/>
                <w:sz w:val="18"/>
              </w:rPr>
              <w:t>PCM mass, latent-heat capacity, airflow resistance, and sustained-hot-ambient behavior still require empirical characterization. The thermal architecture is a design mechanism, not a measured performance claim.</w:t>
            </w:r>
          </w:p>
        </w:tc>
      </w:tr>
    </w:tbl>
    <w:p>
      <w:pPr>
        <w:spacing w:after="100" w:line="259" w:lineRule="auto"/>
      </w:pPr>
    </w:p>
    <w:p>
      <w:pPr>
        <w:spacing w:after="100" w:line="259" w:lineRule="auto"/>
        <w:keepNext/>
      </w:pPr>
      <w:r>
        <w:rPr>
          <w:rFonts w:ascii="Aptos" w:hAnsi="Aptos" w:cs="Aptos"/>
          <w:b/>
          <w:color w:val="2F5F48"/>
          <w:sz w:val="17"/>
        </w:rPr>
        <w:t>8  |  BMS AND EMBEDDED ARCHITECTURE</w:t>
      </w:r>
    </w:p>
    <w:p>
      <w:pPr>
        <w:pStyle w:val="Heading1"/>
        <w:spacing w:before="200" w:after="100"/>
        <w:keepNext/>
      </w:pPr>
      <w:r>
        <w:rPr>
          <w:rFonts w:ascii="Aptos" w:hAnsi="Aptos" w:cs="Aptos"/>
          <w:b/>
          <w:color w:val="182028"/>
          <w:sz w:val="40"/>
        </w:rPr>
        <w:t>An improved BMS for a flat-voltage chemistry</w:t>
      </w:r>
    </w:p>
    <w:p>
      <w:pPr>
        <w:spacing w:after="100" w:line="259" w:lineRule="auto"/>
        <w:jc w:val="center"/>
      </w:pPr>
      <w:r>
        <w:drawing>
          <wp:inline xmlns:a="http://schemas.openxmlformats.org/drawingml/2006/main" xmlns:pic="http://schemas.openxmlformats.org/drawingml/2006/picture">
            <wp:extent cx="5852160" cy="3703682"/>
            <wp:docPr id="7" name="Picture 7"/>
            <wp:cNvGraphicFramePr>
              <a:graphicFrameLocks noChangeAspect="1"/>
            </wp:cNvGraphicFramePr>
            <a:graphic>
              <a:graphicData uri="http://schemas.openxmlformats.org/drawingml/2006/picture">
                <pic:pic>
                  <pic:nvPicPr>
                    <pic:cNvPr id="0" name="73a2265e1d51c830f18adcf7c357648396ac54b1.png"/>
                    <pic:cNvPicPr/>
                  </pic:nvPicPr>
                  <pic:blipFill>
                    <a:blip r:embed="rId17"/>
                    <a:stretch>
                      <a:fillRect/>
                    </a:stretch>
                  </pic:blipFill>
                  <pic:spPr>
                    <a:xfrm>
                      <a:off x="0" y="0"/>
                      <a:ext cx="5852160" cy="3703682"/>
                    </a:xfrm>
                    <a:prstGeom prst="rect"/>
                  </pic:spPr>
                </pic:pic>
              </a:graphicData>
            </a:graphic>
          </wp:inline>
        </w:drawing>
      </w:r>
    </w:p>
    <w:p>
      <w:pPr>
        <w:spacing w:after="100" w:line="259" w:lineRule="auto"/>
        <w:jc w:val="center"/>
      </w:pPr>
      <w:r>
        <w:rPr>
          <w:rFonts w:ascii="Aptos" w:hAnsi="Aptos" w:cs="Aptos"/>
          <w:b w:val="0"/>
          <w:i/>
          <w:color w:val="56616B"/>
          <w:sz w:val="17"/>
        </w:rPr>
        <w:t>ESP32 BMS signal-flow architecture for measurement, protection, thermal awareness, and telemetry.</w:t>
      </w:r>
    </w:p>
    <w:p>
      <w:pPr>
        <w:spacing w:after="100" w:line="259" w:lineRule="auto"/>
        <w:ind w:firstLine="259"/>
      </w:pPr>
      <w:r>
        <w:rPr>
          <w:rFonts w:ascii="Aptos" w:hAnsi="Aptos" w:cs="Aptos"/>
          <w:b w:val="0"/>
          <w:i w:val="0"/>
          <w:color w:val="182028"/>
          <w:sz w:val="21"/>
        </w:rPr>
        <w:t>The embedded architecture extends the battery from a passive pack into a monitored energy-storage system. The design combines coulomb counting for SOC estimation, cell-voltage monitoring, thermal-gradient sensing, impedance-related monitoring, gas detection, Bluetooth/Wi-Fi telemetry, and low-power operation.</w:t>
      </w:r>
    </w:p>
    <w:p>
      <w:pPr>
        <w:pStyle w:val="Heading2"/>
        <w:spacing w:before="200" w:after="100"/>
        <w:keepNext/>
      </w:pPr>
      <w:r>
        <w:rPr>
          <w:rFonts w:ascii="Aptos" w:hAnsi="Aptos" w:cs="Aptos"/>
          <w:b/>
          <w:color w:val="182028"/>
          <w:sz w:val="26"/>
        </w:rPr>
        <w:t>SOC estimation strategy</w:t>
      </w:r>
    </w:p>
    <w:p>
      <w:pPr>
        <w:spacing w:after="100" w:line="259" w:lineRule="auto"/>
        <w:ind w:firstLine="259"/>
      </w:pPr>
      <w:r>
        <w:rPr>
          <w:rFonts w:ascii="Aptos" w:hAnsi="Aptos" w:cs="Aptos"/>
          <w:b w:val="0"/>
          <w:i w:val="0"/>
          <w:color w:val="182028"/>
          <w:sz w:val="21"/>
        </w:rPr>
        <w:t>Because the sodium-ion discharge curve is comparatively flat, voltage alone is not treated as the primary SOC estimator. Coulomb counting provides the integration path, while temperature and voltage measurements support protection logic and future calibration work. Integration drift remains a critical validation item.</w:t>
      </w:r>
    </w:p>
    <w:tbl>
      <w:tblPr>
        <w:tblW w:type="auto" w:w="0"/>
        <w:jc w:val="center"/>
        <w:tblLayout w:type="fixed"/>
        <w:tblLook w:firstColumn="1" w:firstRow="1" w:lastColumn="0" w:lastRow="0" w:noHBand="0" w:noVBand="1" w:val="04A0"/>
      </w:tblPr>
      <w:tblGrid>
        <w:gridCol w:w="9576"/>
      </w:tblGrid>
      <w:tr>
        <w:trPr>
          <w:cantSplit/>
        </w:trPr>
        <w:tc>
          <w:tcPr>
            <w:tcW w:type="dxa" w:w="9835"/>
            <w:shd w:fill="EEF5F1"/>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2F5F48"/>
                <w:sz w:val="18"/>
              </w:rPr>
              <w:t>BMS DESIGN PRINCIPLE</w:t>
            </w:r>
          </w:p>
          <w:p>
            <w:pPr>
              <w:spacing w:after="40" w:line="259" w:lineRule="auto"/>
            </w:pPr>
            <w:r>
              <w:rPr>
                <w:rFonts w:ascii="Aptos" w:hAnsi="Aptos" w:cs="Aptos"/>
                <w:b w:val="0"/>
                <w:i w:val="0"/>
                <w:color w:val="182028"/>
                <w:sz w:val="18"/>
              </w:rPr>
              <w:t>The BMS should not only stop unsafe conditions; it should create a measurable operating history for the pack, including current, temperature, SOC estimate, alarms, and system status.</w:t>
            </w:r>
          </w:p>
        </w:tc>
      </w:tr>
    </w:tbl>
    <w:p>
      <w:pPr>
        <w:spacing w:after="100" w:line="259" w:lineRule="auto"/>
      </w:pPr>
    </w:p>
    <w:p>
      <w:pPr>
        <w:spacing w:after="100" w:line="259" w:lineRule="auto"/>
        <w:keepNext/>
      </w:pPr>
      <w:r>
        <w:rPr>
          <w:rFonts w:ascii="Aptos" w:hAnsi="Aptos" w:cs="Aptos"/>
          <w:b/>
          <w:color w:val="2F5F48"/>
          <w:sz w:val="17"/>
        </w:rPr>
        <w:t>8.4  |  CHARGE INTEGRATION</w:t>
      </w:r>
    </w:p>
    <w:p>
      <w:pPr>
        <w:pStyle w:val="Heading1"/>
        <w:spacing w:before="200" w:after="100"/>
        <w:keepNext/>
      </w:pPr>
      <w:r>
        <w:rPr>
          <w:rFonts w:ascii="Aptos" w:hAnsi="Aptos" w:cs="Aptos"/>
          <w:b/>
          <w:color w:val="182028"/>
          <w:sz w:val="40"/>
        </w:rPr>
        <w:t>The inverter interface is part of the product</w:t>
      </w:r>
    </w:p>
    <w:p>
      <w:pPr>
        <w:spacing w:after="100" w:line="259" w:lineRule="auto"/>
        <w:jc w:val="center"/>
      </w:pPr>
      <w:r>
        <w:drawing>
          <wp:inline xmlns:a="http://schemas.openxmlformats.org/drawingml/2006/main" xmlns:pic="http://schemas.openxmlformats.org/drawingml/2006/picture">
            <wp:extent cx="5852160" cy="3486565"/>
            <wp:docPr id="8" name="Picture 8"/>
            <wp:cNvGraphicFramePr>
              <a:graphicFrameLocks noChangeAspect="1"/>
            </wp:cNvGraphicFramePr>
            <a:graphic>
              <a:graphicData uri="http://schemas.openxmlformats.org/drawingml/2006/picture">
                <pic:pic>
                  <pic:nvPicPr>
                    <pic:cNvPr id="0" name="5c7ecf14f3dd86de0773e938c72dbe027b6bc5ad.png"/>
                    <pic:cNvPicPr/>
                  </pic:nvPicPr>
                  <pic:blipFill>
                    <a:blip r:embed="rId18"/>
                    <a:stretch>
                      <a:fillRect/>
                    </a:stretch>
                  </pic:blipFill>
                  <pic:spPr>
                    <a:xfrm>
                      <a:off x="0" y="0"/>
                      <a:ext cx="5852160" cy="3486565"/>
                    </a:xfrm>
                    <a:prstGeom prst="rect"/>
                  </pic:spPr>
                </pic:pic>
              </a:graphicData>
            </a:graphic>
          </wp:inline>
        </w:drawing>
      </w:r>
    </w:p>
    <w:p>
      <w:pPr>
        <w:spacing w:after="100" w:line="259" w:lineRule="auto"/>
        <w:jc w:val="center"/>
      </w:pPr>
      <w:r>
        <w:rPr>
          <w:rFonts w:ascii="Aptos" w:hAnsi="Aptos" w:cs="Aptos"/>
          <w:b w:val="0"/>
          <w:i/>
          <w:color w:val="56616B"/>
          <w:sz w:val="17"/>
        </w:rPr>
        <w:t>Charge-source integration concept: legacy lead-acid charging path versus a controlled charging architecture.</w:t>
      </w:r>
    </w:p>
    <w:p>
      <w:pPr>
        <w:spacing w:after="100" w:line="259" w:lineRule="auto"/>
        <w:ind w:firstLine="259"/>
      </w:pPr>
      <w:r>
        <w:rPr>
          <w:rFonts w:ascii="Aptos" w:hAnsi="Aptos" w:cs="Aptos"/>
          <w:b w:val="0"/>
          <w:i w:val="0"/>
          <w:color w:val="182028"/>
          <w:sz w:val="21"/>
        </w:rPr>
        <w:t>A conventional residential inverter is usually configured around lead-acid charging behavior. A 12.8 V sodium-ion pack cannot be assumed to accept every legacy charge curve without verification. The Na-POD architecture therefore treats a controlled smart charging profile or dedicated micro-charger as an explicit system boundary.</w:t>
      </w:r>
    </w:p>
    <w:tbl>
      <w:tblPr>
        <w:tblW w:type="auto" w:w="0"/>
        <w:jc w:val="center"/>
        <w:tblLayout w:type="fixed"/>
        <w:tblLook w:firstColumn="1" w:firstRow="1" w:lastColumn="0" w:lastRow="0" w:noHBand="0" w:noVBand="1" w:val="04A0"/>
      </w:tblPr>
      <w:tblGrid>
        <w:gridCol w:w="9576"/>
      </w:tblGrid>
      <w:tr>
        <w:trPr>
          <w:cantSplit/>
        </w:trPr>
        <w:tc>
          <w:tcPr>
            <w:tcW w:type="dxa" w:w="9835"/>
            <w:shd w:fill="F5F7F8"/>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182028"/>
                <w:sz w:val="18"/>
              </w:rPr>
              <w:t>DROP-IN DEFINITION</w:t>
            </w:r>
          </w:p>
          <w:p>
            <w:pPr>
              <w:spacing w:after="40" w:line="259" w:lineRule="auto"/>
            </w:pPr>
            <w:r>
              <w:rPr>
                <w:rFonts w:ascii="Aptos" w:hAnsi="Aptos" w:cs="Aptos"/>
                <w:b w:val="0"/>
                <w:i w:val="0"/>
                <w:color w:val="182028"/>
                <w:sz w:val="18"/>
              </w:rPr>
              <w:t>The pack is intended to be mechanically and electrically compatible with the battery slot, but charging compatibility must be established through a defined charging architecture. The charger is therefore part of the deployment design.</w:t>
            </w:r>
          </w:p>
        </w:tc>
      </w:tr>
    </w:tbl>
    <w:p>
      <w:pPr>
        <w:spacing w:after="100" w:line="259" w:lineRule="auto"/>
      </w:pPr>
    </w:p>
    <w:p>
      <w:pPr>
        <w:pStyle w:val="Heading2"/>
        <w:spacing w:before="200" w:after="100"/>
        <w:keepNext/>
      </w:pPr>
      <w:r>
        <w:rPr>
          <w:rFonts w:ascii="Aptos" w:hAnsi="Aptos" w:cs="Aptos"/>
          <w:b/>
          <w:color w:val="182028"/>
          <w:sz w:val="26"/>
        </w:rPr>
        <w:t>Integration requirements</w:t>
      </w:r>
    </w:p>
    <w:p>
      <w:pPr>
        <w:pStyle w:val="ListBullet"/>
        <w:spacing w:after="60"/>
        <w:ind w:left="360" w:hanging="173"/>
      </w:pPr>
      <w:r>
        <w:rPr>
          <w:rFonts w:ascii="Aptos" w:hAnsi="Aptos" w:cs="Aptos"/>
          <w:b w:val="0"/>
          <w:i w:val="0"/>
          <w:color w:val="182028"/>
          <w:sz w:val="20"/>
        </w:rPr>
        <w:t>Define charging voltage, current limits, and protection thresholds for the selected cell platform.</w:t>
      </w:r>
    </w:p>
    <w:p>
      <w:pPr>
        <w:pStyle w:val="ListBullet"/>
        <w:spacing w:after="60"/>
        <w:ind w:left="360" w:hanging="173"/>
      </w:pPr>
      <w:r>
        <w:rPr>
          <w:rFonts w:ascii="Aptos" w:hAnsi="Aptos" w:cs="Aptos"/>
          <w:b w:val="0"/>
          <w:i w:val="0"/>
          <w:color w:val="182028"/>
          <w:sz w:val="20"/>
        </w:rPr>
        <w:t>Coordinate charger behavior with BMS protection and SOC estimation.</w:t>
      </w:r>
    </w:p>
    <w:p>
      <w:pPr>
        <w:pStyle w:val="ListBullet"/>
        <w:spacing w:after="60"/>
        <w:ind w:left="360" w:hanging="173"/>
      </w:pPr>
      <w:r>
        <w:rPr>
          <w:rFonts w:ascii="Aptos" w:hAnsi="Aptos" w:cs="Aptos"/>
          <w:b w:val="0"/>
          <w:i w:val="0"/>
          <w:color w:val="182028"/>
          <w:sz w:val="20"/>
        </w:rPr>
        <w:t>Quantify charger cost, enclosure space, thermal contribution, and installation procedure.</w:t>
      </w:r>
    </w:p>
    <w:p>
      <w:pPr>
        <w:pStyle w:val="ListBullet"/>
        <w:spacing w:after="60"/>
        <w:ind w:left="360" w:hanging="173"/>
      </w:pPr>
      <w:r>
        <w:rPr>
          <w:rFonts w:ascii="Aptos" w:hAnsi="Aptos" w:cs="Aptos"/>
          <w:b w:val="0"/>
          <w:i w:val="0"/>
          <w:color w:val="182028"/>
          <w:sz w:val="20"/>
        </w:rPr>
        <w:t>Validate the complete battery-plus-inverter system under representative residential duty.</w:t>
      </w:r>
    </w:p>
    <w:p>
      <w:pPr>
        <w:spacing w:after="100" w:line="259" w:lineRule="auto"/>
        <w:keepNext/>
      </w:pPr>
      <w:r>
        <w:rPr>
          <w:rFonts w:ascii="Aptos" w:hAnsi="Aptos" w:cs="Aptos"/>
          <w:b/>
          <w:color w:val="2F5F48"/>
          <w:sz w:val="17"/>
        </w:rPr>
        <w:t>9  |  FAILURE MODES AND RISK CONTROLS</w:t>
      </w:r>
    </w:p>
    <w:p>
      <w:pPr>
        <w:pStyle w:val="Heading1"/>
        <w:spacing w:before="200" w:after="100"/>
        <w:keepNext/>
      </w:pPr>
      <w:r>
        <w:rPr>
          <w:rFonts w:ascii="Aptos" w:hAnsi="Aptos" w:cs="Aptos"/>
          <w:b/>
          <w:color w:val="182028"/>
          <w:sz w:val="40"/>
        </w:rPr>
        <w:t>Design around the failure modes</w:t>
      </w:r>
    </w:p>
    <w:p>
      <w:pPr>
        <w:spacing w:after="100" w:line="259" w:lineRule="auto"/>
        <w:jc w:val="center"/>
      </w:pPr>
      <w:r>
        <w:drawing>
          <wp:inline xmlns:a="http://schemas.openxmlformats.org/drawingml/2006/main" xmlns:pic="http://schemas.openxmlformats.org/drawingml/2006/picture">
            <wp:extent cx="5074920" cy="3782695"/>
            <wp:docPr id="9" name="Picture 9"/>
            <wp:cNvGraphicFramePr>
              <a:graphicFrameLocks noChangeAspect="1"/>
            </wp:cNvGraphicFramePr>
            <a:graphic>
              <a:graphicData uri="http://schemas.openxmlformats.org/drawingml/2006/picture">
                <pic:pic>
                  <pic:nvPicPr>
                    <pic:cNvPr id="0" name="55db7b29d904d9ecb33d2cf15cdae76696d49c7b.png"/>
                    <pic:cNvPicPr/>
                  </pic:nvPicPr>
                  <pic:blipFill>
                    <a:blip r:embed="rId19"/>
                    <a:stretch>
                      <a:fillRect/>
                    </a:stretch>
                  </pic:blipFill>
                  <pic:spPr>
                    <a:xfrm>
                      <a:off x="0" y="0"/>
                      <a:ext cx="5074920" cy="3782695"/>
                    </a:xfrm>
                    <a:prstGeom prst="rect"/>
                  </pic:spPr>
                </pic:pic>
              </a:graphicData>
            </a:graphic>
          </wp:inline>
        </w:drawing>
      </w:r>
    </w:p>
    <w:p>
      <w:pPr>
        <w:spacing w:after="100" w:line="259" w:lineRule="auto"/>
        <w:jc w:val="center"/>
      </w:pPr>
      <w:r>
        <w:rPr>
          <w:rFonts w:ascii="Aptos" w:hAnsi="Aptos" w:cs="Aptos"/>
          <w:b w:val="0"/>
          <w:i/>
          <w:color w:val="56616B"/>
          <w:sz w:val="17"/>
        </w:rPr>
        <w:t>Qualitative risk-placement matrix for the principal design failure modes.</w:t>
      </w:r>
    </w:p>
    <w:p>
      <w:pPr>
        <w:pStyle w:val="Heading2"/>
        <w:spacing w:before="200" w:after="100"/>
        <w:keepNext/>
      </w:pPr>
      <w:r>
        <w:rPr>
          <w:rFonts w:ascii="Aptos" w:hAnsi="Aptos" w:cs="Aptos"/>
          <w:b/>
          <w:color w:val="182028"/>
          <w:sz w:val="26"/>
        </w:rPr>
        <w:t>Five principal failure modes</w:t>
      </w:r>
    </w:p>
    <w:tbl>
      <w:tblPr>
        <w:tblW w:type="auto" w:w="0"/>
        <w:jc w:val="center"/>
        <w:tblLayout w:type="fixed"/>
        <w:tblLook w:firstColumn="1" w:firstRow="1" w:lastColumn="0" w:lastRow="0" w:noHBand="0" w:noVBand="1" w:val="04A0"/>
      </w:tblPr>
      <w:tblGrid>
        <w:gridCol w:w="4917"/>
        <w:gridCol w:w="4917"/>
      </w:tblGrid>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Cell swelling</w:t>
            </w:r>
          </w:p>
          <w:p>
            <w:pPr>
              <w:spacing w:after="40" w:line="259" w:lineRule="auto"/>
            </w:pPr>
            <w:r>
              <w:rPr>
                <w:rFonts w:ascii="Aptos" w:hAnsi="Aptos" w:cs="Aptos"/>
                <w:b w:val="0"/>
                <w:i w:val="0"/>
                <w:color w:val="182028"/>
                <w:sz w:val="18"/>
              </w:rPr>
              <w:t>Unaccommodated expansion can drive internal stress and interface separation. Mitigation: compliant compression stack.</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Thermal accumulation</w:t>
            </w:r>
          </w:p>
          <w:p>
            <w:pPr>
              <w:spacing w:after="40" w:line="259" w:lineRule="auto"/>
            </w:pPr>
            <w:r>
              <w:rPr>
                <w:rFonts w:ascii="Aptos" w:hAnsi="Aptos" w:cs="Aptos"/>
                <w:b w:val="0"/>
                <w:i w:val="0"/>
                <w:color w:val="182028"/>
                <w:sz w:val="18"/>
              </w:rPr>
              <w:t>Sustained heat or blocked airflow can elevate temperature. Mitigation: chimney channels + PCM + BMS thermal monitoring.</w:t>
            </w:r>
          </w:p>
        </w:tc>
      </w:tr>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SOC miscalibration</w:t>
            </w:r>
          </w:p>
          <w:p>
            <w:pPr>
              <w:spacing w:after="40" w:line="259" w:lineRule="auto"/>
            </w:pPr>
            <w:r>
              <w:rPr>
                <w:rFonts w:ascii="Aptos" w:hAnsi="Aptos" w:cs="Aptos"/>
                <w:b w:val="0"/>
                <w:i w:val="0"/>
                <w:color w:val="182028"/>
                <w:sz w:val="18"/>
              </w:rPr>
              <w:t>Coulomb-counting drift can produce an inaccurate SOC estimate. Mitigation: telemetry, calibration strategy, and validation.</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Manufacturing mismatch</w:t>
            </w:r>
          </w:p>
          <w:p>
            <w:pPr>
              <w:spacing w:after="40" w:line="259" w:lineRule="auto"/>
            </w:pPr>
            <w:r>
              <w:rPr>
                <w:rFonts w:ascii="Aptos" w:hAnsi="Aptos" w:cs="Aptos"/>
                <w:b w:val="0"/>
                <w:i w:val="0"/>
                <w:color w:val="182028"/>
                <w:sz w:val="18"/>
              </w:rPr>
              <w:t>Dimensional variability can create uneven preload. Mitigation: silicone tolerance compensation and assembly control.</w:t>
            </w:r>
          </w:p>
        </w:tc>
      </w:tr>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Idle power drain</w:t>
            </w:r>
          </w:p>
          <w:p>
            <w:pPr>
              <w:spacing w:after="40" w:line="259" w:lineRule="auto"/>
            </w:pPr>
            <w:r>
              <w:rPr>
                <w:rFonts w:ascii="Aptos" w:hAnsi="Aptos" w:cs="Aptos"/>
                <w:b w:val="0"/>
                <w:i w:val="0"/>
                <w:color w:val="182028"/>
                <w:sz w:val="18"/>
              </w:rPr>
              <w:t>BMS quiescent draw can reduce long-idle capacity. Mitigation: low-power operating mode and measured standby current.</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FFFFF"/>
            <w:vAlign w:val="center"/>
          </w:tcPr>
          <w:p>
            <w:pPr>
              <w:spacing w:after="40"/>
            </w:pPr>
          </w:p>
        </w:tc>
      </w:tr>
    </w:tbl>
    <w:p>
      <w:pPr>
        <w:spacing w:after="100" w:line="259" w:lineRule="auto"/>
      </w:pPr>
    </w:p>
    <w:tbl>
      <w:tblPr>
        <w:tblW w:type="auto" w:w="0"/>
        <w:jc w:val="center"/>
        <w:tblLayout w:type="fixed"/>
        <w:tblLook w:firstColumn="1" w:firstRow="1" w:lastColumn="0" w:lastRow="0" w:noHBand="0" w:noVBand="1" w:val="04A0"/>
      </w:tblPr>
      <w:tblGrid>
        <w:gridCol w:w="9576"/>
      </w:tblGrid>
      <w:tr>
        <w:trPr>
          <w:cantSplit/>
        </w:trPr>
        <w:tc>
          <w:tcPr>
            <w:tcW w:type="dxa" w:w="9835"/>
            <w:shd w:fill="F5F7F8"/>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182028"/>
                <w:sz w:val="18"/>
              </w:rPr>
              <w:t>RISK METHOD</w:t>
            </w:r>
          </w:p>
          <w:p>
            <w:pPr>
              <w:spacing w:after="40" w:line="259" w:lineRule="auto"/>
            </w:pPr>
            <w:r>
              <w:rPr>
                <w:rFonts w:ascii="Aptos" w:hAnsi="Aptos" w:cs="Aptos"/>
                <w:b w:val="0"/>
                <w:i w:val="0"/>
                <w:color w:val="182028"/>
                <w:sz w:val="18"/>
              </w:rPr>
              <w:t>The matrix is a qualitative engineering communication tool. Quantitative severity, occurrence, and detection scores should be assigned only after measured failure data and a defined production process exist.</w:t>
            </w:r>
          </w:p>
        </w:tc>
      </w:tr>
    </w:tbl>
    <w:p>
      <w:pPr>
        <w:pageBreakBefore/>
        <w:spacing w:after="100" w:line="259" w:lineRule="auto"/>
        <w:keepNext/>
      </w:pPr>
      <w:r>
        <w:rPr>
          <w:rFonts w:ascii="Aptos" w:hAnsi="Aptos" w:cs="Aptos"/>
          <w:b/>
          <w:color w:val="2F5F48"/>
          <w:sz w:val="17"/>
        </w:rPr>
        <w:t>10  |  ECONOMIC MODEL</w:t>
      </w:r>
    </w:p>
    <w:p>
      <w:pPr>
        <w:pStyle w:val="Heading1"/>
        <w:spacing w:before="200" w:after="100"/>
        <w:keepNext/>
      </w:pPr>
      <w:r>
        <w:rPr>
          <w:rFonts w:ascii="Aptos" w:hAnsi="Aptos" w:cs="Aptos"/>
          <w:b/>
          <w:color w:val="182028"/>
          <w:sz w:val="40"/>
        </w:rPr>
        <w:t>Projected unit economics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3528"/>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Parameter</w:t>
            </w:r>
          </w:p>
        </w:tc>
        <w:tc>
          <w:tcPr>
            <w:tcW w:type="dxa" w:w="2376"/>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Value</w:t>
            </w:r>
          </w:p>
        </w:tc>
        <w:tc>
          <w:tcPr>
            <w:tcW w:type="dxa" w:w="1944"/>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Status</w:t>
            </w:r>
          </w:p>
        </w:tc>
        <w:tc>
          <w:tcPr>
            <w:tcW w:type="dxa" w:w="1728"/>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Basis</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COGS</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13,500</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Projection</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Design target</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Wholesale price</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19,000</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Projection</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B2B reference</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Retail price</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24,500</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Projection</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B2C reference</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Wholesale gross margin</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5,500 / 28.9%</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Derived</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Margin on selling price</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Wholesale markup</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5,500 / 40.7%</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Derived</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Markup on COGS</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Retail gross margin</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11,000 / 44.9%</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Derived</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Margin on selling price</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Retail markup</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11,000 / 81.5%</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Derived</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Markup on COGS</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COGS / nominal kWh</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INR 7,031</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Derived</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Nominal energy basis</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Retail / nominal kWh</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INR 12,760</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Derived</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Nominal energy basis</w:t>
            </w:r>
          </w:p>
        </w:tc>
      </w:tr>
    </w:tbl>
    <w:p>
      <w:pPr>
        <w:spacing w:after="100" w:line="259" w:lineRule="auto"/>
        <w:jc w:val="center"/>
      </w:pPr>
      <w:r>
        <w:drawing>
          <wp:inline xmlns:a="http://schemas.openxmlformats.org/drawingml/2006/main" xmlns:pic="http://schemas.openxmlformats.org/drawingml/2006/picture">
            <wp:extent cx="5074920" cy="3411642"/>
            <wp:docPr id="10" name="Picture 10"/>
            <wp:cNvGraphicFramePr>
              <a:graphicFrameLocks noChangeAspect="1"/>
            </wp:cNvGraphicFramePr>
            <a:graphic>
              <a:graphicData uri="http://schemas.openxmlformats.org/drawingml/2006/picture">
                <pic:pic>
                  <pic:nvPicPr>
                    <pic:cNvPr id="0" name="40cb8aebea7adad0a35b37e440381ebca790da1c.png"/>
                    <pic:cNvPicPr/>
                  </pic:nvPicPr>
                  <pic:blipFill>
                    <a:blip r:embed="rId20"/>
                    <a:stretch>
                      <a:fillRect/>
                    </a:stretch>
                  </pic:blipFill>
                  <pic:spPr>
                    <a:xfrm>
                      <a:off x="0" y="0"/>
                      <a:ext cx="5074920" cy="3411642"/>
                    </a:xfrm>
                    <a:prstGeom prst="rect"/>
                  </pic:spPr>
                </pic:pic>
              </a:graphicData>
            </a:graphic>
          </wp:inline>
        </w:drawing>
      </w:r>
    </w:p>
    <w:p>
      <w:pPr>
        <w:spacing w:after="100" w:line="259" w:lineRule="auto"/>
        <w:jc w:val="center"/>
      </w:pPr>
      <w:r>
        <w:rPr>
          <w:rFonts w:ascii="Aptos" w:hAnsi="Aptos" w:cs="Aptos"/>
          <w:b w:val="0"/>
          <w:i/>
          <w:color w:val="56616B"/>
          <w:sz w:val="17"/>
        </w:rPr>
        <w:t>Projected production-to-retail price structure and derived markup annotations.</w:t>
      </w:r>
    </w:p>
    <w:p>
      <w:pPr>
        <w:spacing w:after="100" w:line="259" w:lineRule="auto"/>
      </w:pPr>
      <w:r>
        <w:rPr>
          <w:rFonts w:ascii="Aptos" w:hAnsi="Aptos" w:cs="Aptos"/>
          <w:b w:val="0"/>
          <w:i w:val="0"/>
          <w:color w:val="182028"/>
          <w:sz w:val="19"/>
        </w:rPr>
        <w:t>The economic model is deliberately separated from measured performance. Cost and pricing are projections; margins are arithmetic derived quantities. At low-to-medium prototype volume, the design analysis indicates that custom enclosure parts, SS304 compression hardware, and specialized components create a significant manufacturing-cost challenge.</w:t>
      </w:r>
    </w:p>
    <w:p>
      <w:pPr>
        <w:spacing w:after="100" w:line="259" w:lineRule="auto"/>
        <w:keepNext/>
      </w:pPr>
      <w:r>
        <w:rPr>
          <w:rFonts w:ascii="Aptos" w:hAnsi="Aptos" w:cs="Aptos"/>
          <w:b/>
          <w:color w:val="2F5F48"/>
          <w:sz w:val="17"/>
        </w:rPr>
        <w:t>10.3  |  BREAK-EVEN SENSITIVITY</w:t>
      </w:r>
    </w:p>
    <w:p>
      <w:pPr>
        <w:pStyle w:val="Heading1"/>
        <w:spacing w:before="200" w:after="100"/>
        <w:keepNext/>
      </w:pPr>
      <w:r>
        <w:rPr>
          <w:rFonts w:ascii="Aptos" w:hAnsi="Aptos" w:cs="Aptos"/>
          <w:b/>
          <w:color w:val="182028"/>
          <w:sz w:val="40"/>
        </w:rPr>
        <w:t>What service life would the economics require?</w:t>
      </w:r>
    </w:p>
    <w:p>
      <w:pPr>
        <w:spacing w:after="100" w:line="259" w:lineRule="auto"/>
        <w:jc w:val="center"/>
      </w:pPr>
      <w:r>
        <w:drawing>
          <wp:inline xmlns:a="http://schemas.openxmlformats.org/drawingml/2006/main" xmlns:pic="http://schemas.openxmlformats.org/drawingml/2006/picture">
            <wp:extent cx="5806440" cy="3620255"/>
            <wp:docPr id="11" name="Picture 11"/>
            <wp:cNvGraphicFramePr>
              <a:graphicFrameLocks noChangeAspect="1"/>
            </wp:cNvGraphicFramePr>
            <a:graphic>
              <a:graphicData uri="http://schemas.openxmlformats.org/drawingml/2006/picture">
                <pic:pic>
                  <pic:nvPicPr>
                    <pic:cNvPr id="0" name="35bd7f5aa3ff35e8ff586e588cc4018307d05384.png"/>
                    <pic:cNvPicPr/>
                  </pic:nvPicPr>
                  <pic:blipFill>
                    <a:blip r:embed="rId21"/>
                    <a:stretch>
                      <a:fillRect/>
                    </a:stretch>
                  </pic:blipFill>
                  <pic:spPr>
                    <a:xfrm>
                      <a:off x="0" y="0"/>
                      <a:ext cx="5806440" cy="3620255"/>
                    </a:xfrm>
                    <a:prstGeom prst="rect"/>
                  </pic:spPr>
                </pic:pic>
              </a:graphicData>
            </a:graphic>
          </wp:inline>
        </w:drawing>
      </w:r>
    </w:p>
    <w:p>
      <w:pPr>
        <w:spacing w:after="100" w:line="259" w:lineRule="auto"/>
        <w:jc w:val="center"/>
      </w:pPr>
      <w:r>
        <w:rPr>
          <w:rFonts w:ascii="Aptos" w:hAnsi="Aptos" w:cs="Aptos"/>
          <w:b w:val="0"/>
          <w:i/>
          <w:color w:val="56616B"/>
          <w:sz w:val="17"/>
        </w:rPr>
        <w:t>Illustrative cumulative-cost trajectories using the documented lead-acid price/cadence scenarios.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3384"/>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Lead-acid baseline</w:t>
            </w:r>
          </w:p>
        </w:tc>
        <w:tc>
          <w:tcPr>
            <w:tcW w:type="dxa" w:w="2304"/>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Equivalent annual cost</w:t>
            </w:r>
          </w:p>
        </w:tc>
        <w:tc>
          <w:tcPr>
            <w:tcW w:type="dxa" w:w="2088"/>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Na-POD retail</w:t>
            </w:r>
          </w:p>
        </w:tc>
        <w:tc>
          <w:tcPr>
            <w:tcW w:type="dxa" w:w="1800"/>
            <w:shd w:fill="182028"/>
            <w:tcMar>
              <w:top w:w="90" w:type="dxa"/>
              <w:start w:w="110" w:type="dxa"/>
              <w:bottom w:w="90" w:type="dxa"/>
              <w:end w:w="110" w:type="dxa"/>
            </w:tcMar>
            <w:tcBorders>
              <w:bottom w:val="single" w:sz="8" w:color="FFFFFF"/>
            </w:tcBorders>
            <w:vAlign w:val="center"/>
          </w:tcPr>
          <w:p>
            <w:pPr>
              <w:spacing w:after="40"/>
              <w:jc w:val="left"/>
            </w:pPr>
            <w:r>
              <w:rPr>
                <w:rFonts w:ascii="Aptos" w:hAnsi="Aptos" w:cs="Aptos"/>
                <w:b/>
                <w:i w:val="0"/>
                <w:color w:val="FFFFFF"/>
                <w:sz w:val="18"/>
              </w:rPr>
              <w:t>Na-POD wholesale</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12,000 / 3 yr</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4,000 / yr</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6.1 yr</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4.8 yr</w:t>
            </w:r>
          </w:p>
        </w:tc>
      </w:tr>
      <w:tr>
        <w:trPr>
          <w:cantSplit/>
        </w:trPr>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13,500 / 2.5 yr</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5,400 / yr</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4.5 yr</w:t>
            </w:r>
          </w:p>
        </w:tc>
        <w:tc>
          <w:tcPr>
            <w:tcW w:type="dxa" w:w="2459"/>
            <w:tcMar>
              <w:top w:w="75" w:type="dxa"/>
              <w:start w:w="110" w:type="dxa"/>
              <w:bottom w:w="75" w:type="dxa"/>
              <w:end w:w="110" w:type="dxa"/>
            </w:tcMar>
            <w:vAlign w:val="center"/>
            <w:shd w:fill="F3F5F6"/>
            <w:tcBorders>
              <w:bottom w:val="single" w:sz="4" w:color="D8DEE2"/>
            </w:tcBorders>
          </w:tcPr>
          <w:p>
            <w:pPr>
              <w:spacing w:after="40"/>
            </w:pPr>
            <w:r>
              <w:rPr>
                <w:rFonts w:ascii="Aptos" w:hAnsi="Aptos" w:cs="Aptos"/>
                <w:b w:val="0"/>
                <w:i w:val="0"/>
                <w:color w:val="182028"/>
                <w:sz w:val="18"/>
              </w:rPr>
              <w:t>3.5 yr</w:t>
            </w:r>
          </w:p>
        </w:tc>
      </w:tr>
      <w:tr>
        <w:trPr>
          <w:cantSplit/>
        </w:trPr>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15,000 / 2 yr</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7,500 / yr</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3.3 yr</w:t>
            </w:r>
          </w:p>
        </w:tc>
        <w:tc>
          <w:tcPr>
            <w:tcW w:type="dxa" w:w="2459"/>
            <w:tcMar>
              <w:top w:w="75" w:type="dxa"/>
              <w:start w:w="110" w:type="dxa"/>
              <w:bottom w:w="75" w:type="dxa"/>
              <w:end w:w="110" w:type="dxa"/>
            </w:tcMar>
            <w:vAlign w:val="center"/>
            <w:shd w:fill="FFFFFF"/>
            <w:tcBorders>
              <w:bottom w:val="single" w:sz="4" w:color="D8DEE2"/>
            </w:tcBorders>
          </w:tcPr>
          <w:p>
            <w:pPr>
              <w:spacing w:after="40"/>
            </w:pPr>
            <w:r>
              <w:rPr>
                <w:rFonts w:ascii="Aptos" w:hAnsi="Aptos" w:cs="Aptos"/>
                <w:b w:val="0"/>
                <w:i w:val="0"/>
                <w:color w:val="182028"/>
                <w:sz w:val="18"/>
              </w:rPr>
              <w:t>2.5 yr</w:t>
            </w:r>
          </w:p>
        </w:tc>
      </w:tr>
    </w:tbl>
    <w:p>
      <w:pPr>
        <w:spacing w:after="100" w:line="259" w:lineRule="auto"/>
      </w:pPr>
      <w:r>
        <w:rPr>
          <w:rFonts w:ascii="Aptos" w:hAnsi="Aptos" w:cs="Aptos"/>
          <w:b w:val="0"/>
          <w:i w:val="0"/>
          <w:color w:val="56616B"/>
          <w:sz w:val="19"/>
        </w:rPr>
        <w:t>The break-even calculation is illustrative. It assumes a one-time battery purchase, zero maintenance cost for both systems, and the baseline replacement cadence above. The resulting service-life thresholds are requirements for validation, not claims of demonstrated Na-POD service life.</w:t>
      </w:r>
    </w:p>
    <w:tbl>
      <w:tblPr>
        <w:tblW w:type="auto" w:w="0"/>
        <w:jc w:val="center"/>
        <w:tblLayout w:type="fixed"/>
        <w:tblLook w:firstColumn="1" w:firstRow="1" w:lastColumn="0" w:lastRow="0" w:noHBand="0" w:noVBand="1" w:val="04A0"/>
      </w:tblPr>
      <w:tblGrid>
        <w:gridCol w:w="9576"/>
      </w:tblGrid>
      <w:tr>
        <w:trPr>
          <w:cantSplit/>
        </w:trPr>
        <w:tc>
          <w:tcPr>
            <w:tcW w:type="dxa" w:w="9835"/>
            <w:shd w:fill="EEF5F1"/>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2F5F48"/>
                <w:sz w:val="18"/>
              </w:rPr>
              <w:t>ECONOMIC IMPLICATION</w:t>
            </w:r>
          </w:p>
          <w:p>
            <w:pPr>
              <w:spacing w:after="40" w:line="259" w:lineRule="auto"/>
            </w:pPr>
            <w:r>
              <w:rPr>
                <w:rFonts w:ascii="Aptos" w:hAnsi="Aptos" w:cs="Aptos"/>
                <w:b w:val="0"/>
                <w:i w:val="0"/>
                <w:color w:val="182028"/>
                <w:sz w:val="18"/>
              </w:rPr>
              <w:t>The lower wholesale threshold suggests a stronger fit for buyers who evaluate reliability and total cost of ownership rather than only the initial cash outlay. This is a segment hypothesis to validate, not a measured market result.</w:t>
            </w:r>
          </w:p>
        </w:tc>
      </w:tr>
    </w:tbl>
    <w:p>
      <w:pPr>
        <w:spacing w:after="100" w:line="259" w:lineRule="auto"/>
      </w:pPr>
    </w:p>
    <w:p>
      <w:pPr>
        <w:spacing w:after="100" w:line="259" w:lineRule="auto"/>
        <w:keepNext/>
      </w:pPr>
      <w:r>
        <w:rPr>
          <w:rFonts w:ascii="Aptos" w:hAnsi="Aptos" w:cs="Aptos"/>
          <w:b/>
          <w:color w:val="2F5F48"/>
          <w:sz w:val="17"/>
        </w:rPr>
        <w:t>11  |  FEASIBILITY ASSESSMENT</w:t>
      </w:r>
    </w:p>
    <w:p>
      <w:pPr>
        <w:pStyle w:val="Heading1"/>
        <w:spacing w:before="200" w:after="100"/>
        <w:keepNext/>
      </w:pPr>
      <w:r>
        <w:rPr>
          <w:rFonts w:ascii="Aptos" w:hAnsi="Aptos" w:cs="Aptos"/>
          <w:b/>
          <w:color w:val="182028"/>
          <w:sz w:val="40"/>
        </w:rPr>
        <w:t>Feasibility is a systems question</w:t>
      </w:r>
    </w:p>
    <w:p>
      <w:pPr>
        <w:pStyle w:val="Heading2"/>
        <w:spacing w:before="200" w:after="100"/>
        <w:keepNext/>
      </w:pPr>
      <w:r>
        <w:rPr>
          <w:rFonts w:ascii="Aptos" w:hAnsi="Aptos" w:cs="Aptos"/>
          <w:b/>
          <w:color w:val="182028"/>
          <w:sz w:val="26"/>
        </w:rPr>
        <w:t>Technical feasibility</w:t>
      </w:r>
    </w:p>
    <w:p>
      <w:pPr>
        <w:spacing w:after="100" w:line="259" w:lineRule="auto"/>
        <w:ind w:firstLine="259"/>
      </w:pPr>
      <w:r>
        <w:rPr>
          <w:rFonts w:ascii="Aptos" w:hAnsi="Aptos" w:cs="Aptos"/>
          <w:b w:val="0"/>
          <w:i w:val="0"/>
          <w:color w:val="182028"/>
          <w:sz w:val="21"/>
        </w:rPr>
        <w:t>The architecture is internally coherent: swelling is assigned to the compliance stack; thermal accumulation is addressed through chimney convection, PCM buffering, and BMS monitoring; SOC estimation is moved toward coulomb counting with supporting measurements. The remaining technical work is measurement of the assembled system, not invention of a new subsystem.</w:t>
      </w:r>
    </w:p>
    <w:p>
      <w:pPr>
        <w:pStyle w:val="Heading2"/>
        <w:spacing w:before="200" w:after="100"/>
        <w:keepNext/>
      </w:pPr>
      <w:r>
        <w:rPr>
          <w:rFonts w:ascii="Aptos" w:hAnsi="Aptos" w:cs="Aptos"/>
          <w:b/>
          <w:color w:val="182028"/>
          <w:sz w:val="26"/>
        </w:rPr>
        <w:t>Integration feasibility</w:t>
      </w:r>
    </w:p>
    <w:p>
      <w:pPr>
        <w:spacing w:after="100" w:line="259" w:lineRule="auto"/>
        <w:ind w:firstLine="259"/>
      </w:pPr>
      <w:r>
        <w:rPr>
          <w:rFonts w:ascii="Aptos" w:hAnsi="Aptos" w:cs="Aptos"/>
          <w:b w:val="0"/>
          <w:i w:val="0"/>
          <w:color w:val="182028"/>
          <w:sz w:val="21"/>
        </w:rPr>
        <w:t>The primary deployment issue is charge integration. A legacy inverter may require a controlled charging path, meaning the practical product boundary is a battery-plus-charging solution rather than a battery considered in isolation. Charger power, protection behavior, thermal contribution, and COGS need to be fixed in the next design stage.</w:t>
      </w:r>
    </w:p>
    <w:p>
      <w:pPr>
        <w:pStyle w:val="Heading2"/>
        <w:spacing w:before="200" w:after="100"/>
        <w:keepNext/>
      </w:pPr>
      <w:r>
        <w:rPr>
          <w:rFonts w:ascii="Aptos" w:hAnsi="Aptos" w:cs="Aptos"/>
          <w:b/>
          <w:color w:val="182028"/>
          <w:sz w:val="26"/>
        </w:rPr>
        <w:t>Economic feasibility</w:t>
      </w:r>
    </w:p>
    <w:p>
      <w:pPr>
        <w:spacing w:after="100" w:line="259" w:lineRule="auto"/>
        <w:ind w:firstLine="259"/>
      </w:pPr>
      <w:r>
        <w:rPr>
          <w:rFonts w:ascii="Aptos" w:hAnsi="Aptos" w:cs="Aptos"/>
          <w:b w:val="0"/>
          <w:i w:val="0"/>
          <w:color w:val="182028"/>
          <w:sz w:val="21"/>
        </w:rPr>
        <w:t>The projected INR 13,500 COGS target is difficult at low volume because the architecture includes custom enclosure and compression hardware. The design therefore benefits from a scale-sensitive manufacturing plan and a market segment that evaluates lifecycle cost, reliability, and maintenance rather than only upfront purchase price.</w:t>
      </w:r>
    </w:p>
    <w:tbl>
      <w:tblPr>
        <w:tblW w:type="auto" w:w="0"/>
        <w:jc w:val="center"/>
        <w:tblLayout w:type="fixed"/>
        <w:tblLook w:firstColumn="1" w:firstRow="1" w:lastColumn="0" w:lastRow="0" w:noHBand="0" w:noVBand="1" w:val="04A0"/>
      </w:tblPr>
      <w:tblGrid>
        <w:gridCol w:w="9576"/>
      </w:tblGrid>
      <w:tr>
        <w:trPr>
          <w:cantSplit/>
        </w:trPr>
        <w:tc>
          <w:tcPr>
            <w:tcW w:type="dxa" w:w="9835"/>
            <w:shd w:fill="F5F7F8"/>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182028"/>
                <w:sz w:val="18"/>
              </w:rPr>
              <w:t>CURRENT ASSESSMENT</w:t>
            </w:r>
          </w:p>
          <w:p>
            <w:pPr>
              <w:spacing w:after="40" w:line="259" w:lineRule="auto"/>
            </w:pPr>
            <w:r>
              <w:rPr>
                <w:rFonts w:ascii="Aptos" w:hAnsi="Aptos" w:cs="Aptos"/>
                <w:b w:val="0"/>
                <w:i w:val="0"/>
                <w:color w:val="182028"/>
                <w:sz w:val="18"/>
              </w:rPr>
              <w:t>The concept is technically coherent at the architecture level, but final feasibility depends on mechanical, thermal, BMS, charging, cycle-life, and manufacturing validation. The paper defines the engineering questions that the prototype must answer.</w:t>
            </w:r>
          </w:p>
        </w:tc>
      </w:tr>
    </w:tbl>
    <w:p>
      <w:pPr>
        <w:spacing w:after="100" w:line="259" w:lineRule="auto"/>
      </w:pPr>
    </w:p>
    <w:p>
      <w:pPr>
        <w:spacing w:after="100" w:line="259" w:lineRule="auto"/>
        <w:keepNext/>
      </w:pPr>
      <w:r>
        <w:rPr>
          <w:rFonts w:ascii="Aptos" w:hAnsi="Aptos" w:cs="Aptos"/>
          <w:b/>
          <w:color w:val="2F5F48"/>
          <w:sz w:val="17"/>
        </w:rPr>
        <w:t>12  |  LIMITATIONS AND VALIDATION PROGRAM</w:t>
      </w:r>
    </w:p>
    <w:p>
      <w:pPr>
        <w:pStyle w:val="Heading1"/>
        <w:spacing w:before="200" w:after="100"/>
        <w:keepNext/>
      </w:pPr>
      <w:r>
        <w:rPr>
          <w:rFonts w:ascii="Aptos" w:hAnsi="Aptos" w:cs="Aptos"/>
          <w:b/>
          <w:color w:val="182028"/>
          <w:sz w:val="40"/>
        </w:rPr>
        <w:t>What must be proven next</w:t>
      </w:r>
    </w:p>
    <w:tbl>
      <w:tblPr>
        <w:tblW w:type="auto" w:w="0"/>
        <w:jc w:val="center"/>
        <w:tblLayout w:type="fixed"/>
        <w:tblLook w:firstColumn="1" w:firstRow="1" w:lastColumn="0" w:lastRow="0" w:noHBand="0" w:noVBand="1" w:val="04A0"/>
      </w:tblPr>
      <w:tblGrid>
        <w:gridCol w:w="4917"/>
        <w:gridCol w:w="4917"/>
      </w:tblGrid>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Mechanical validation</w:t>
            </w:r>
          </w:p>
          <w:p>
            <w:pPr>
              <w:spacing w:after="40" w:line="259" w:lineRule="auto"/>
            </w:pPr>
            <w:r>
              <w:rPr>
                <w:rFonts w:ascii="Aptos" w:hAnsi="Aptos" w:cs="Aptos"/>
                <w:b w:val="0"/>
                <w:i w:val="0"/>
                <w:color w:val="182028"/>
                <w:sz w:val="18"/>
              </w:rPr>
              <w:t>Measure preload, force-deflection response, face-pressure distribution, and retention over repeated expansion cycles.</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Thermal validation</w:t>
            </w:r>
          </w:p>
          <w:p>
            <w:pPr>
              <w:spacing w:after="40" w:line="259" w:lineRule="auto"/>
            </w:pPr>
            <w:r>
              <w:rPr>
                <w:rFonts w:ascii="Aptos" w:hAnsi="Aptos" w:cs="Aptos"/>
                <w:b w:val="0"/>
                <w:i w:val="0"/>
                <w:color w:val="182028"/>
                <w:sz w:val="18"/>
              </w:rPr>
              <w:t>Measure PCM temperature behavior, saturation time, chimney flow behavior, and sustained-hot-ambient response.</w:t>
            </w:r>
          </w:p>
        </w:tc>
      </w:tr>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BMS validation</w:t>
            </w:r>
          </w:p>
          <w:p>
            <w:pPr>
              <w:spacing w:after="40" w:line="259" w:lineRule="auto"/>
            </w:pPr>
            <w:r>
              <w:rPr>
                <w:rFonts w:ascii="Aptos" w:hAnsi="Aptos" w:cs="Aptos"/>
                <w:b w:val="0"/>
                <w:i w:val="0"/>
                <w:color w:val="182028"/>
                <w:sz w:val="18"/>
              </w:rPr>
              <w:t>Measure SOC accuracy, drift, current accuracy, temperature response, protection thresholds, and telemetry reliability.</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System validation</w:t>
            </w:r>
          </w:p>
          <w:p>
            <w:pPr>
              <w:spacing w:after="40" w:line="259" w:lineRule="auto"/>
            </w:pPr>
            <w:r>
              <w:rPr>
                <w:rFonts w:ascii="Aptos" w:hAnsi="Aptos" w:cs="Aptos"/>
                <w:b w:val="0"/>
                <w:i w:val="0"/>
                <w:color w:val="182028"/>
                <w:sz w:val="18"/>
              </w:rPr>
              <w:t>Run the pack under representative inverter loads and quantify efficiency, temperature rise, protection events, and cycle life.</w:t>
            </w:r>
          </w:p>
        </w:tc>
      </w:tr>
      <w:tr>
        <w:trPr>
          <w:cantSplit/>
        </w:trPr>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F7F9FA"/>
            <w:vAlign w:val="center"/>
          </w:tcPr>
          <w:p>
            <w:pPr>
              <w:spacing w:after="40"/>
            </w:pPr>
            <w:r>
              <w:rPr>
                <w:rFonts w:ascii="Aptos" w:hAnsi="Aptos" w:cs="Aptos"/>
                <w:b/>
                <w:i w:val="0"/>
                <w:color w:val="2F5F48"/>
                <w:sz w:val="18"/>
              </w:rPr>
              <w:t>Manufacturing validation</w:t>
            </w:r>
          </w:p>
          <w:p>
            <w:pPr>
              <w:spacing w:after="40" w:line="259" w:lineRule="auto"/>
            </w:pPr>
            <w:r>
              <w:rPr>
                <w:rFonts w:ascii="Aptos" w:hAnsi="Aptos" w:cs="Aptos"/>
                <w:b w:val="0"/>
                <w:i w:val="0"/>
                <w:color w:val="182028"/>
                <w:sz w:val="18"/>
              </w:rPr>
              <w:t>Build a repeatable stack assembly process and establish dimensional tolerances, tooling assumptions, and unit-cost tiers.</w:t>
            </w:r>
          </w:p>
        </w:tc>
        <w:tc>
          <w:tcPr>
            <w:tcW w:type="dxa" w:w="4608"/>
            <w:tcMar>
              <w:top w:w="120" w:type="dxa"/>
              <w:start w:w="140" w:type="dxa"/>
              <w:bottom w:w="120" w:type="dxa"/>
              <w:end w:w="140" w:type="dxa"/>
            </w:tcMar>
            <w:tcBorders>
              <w:top w:val="single" w:sz="8" w:color="D8DEE2"/>
              <w:left w:val="single" w:sz="8" w:color="D8DEE2"/>
              <w:bottom w:val="single" w:sz="8" w:color="D8DEE2"/>
              <w:right w:val="single" w:sz="8" w:color="D8DEE2"/>
            </w:tcBorders>
            <w:shd w:fill="EAF3EE"/>
            <w:vAlign w:val="center"/>
          </w:tcPr>
          <w:p>
            <w:pPr>
              <w:spacing w:after="40"/>
            </w:pPr>
            <w:r>
              <w:rPr>
                <w:rFonts w:ascii="Aptos" w:hAnsi="Aptos" w:cs="Aptos"/>
                <w:b/>
                <w:i w:val="0"/>
                <w:color w:val="2F5F48"/>
                <w:sz w:val="18"/>
              </w:rPr>
              <w:t>Deployment validation</w:t>
            </w:r>
          </w:p>
          <w:p>
            <w:pPr>
              <w:spacing w:after="40" w:line="259" w:lineRule="auto"/>
            </w:pPr>
            <w:r>
              <w:rPr>
                <w:rFonts w:ascii="Aptos" w:hAnsi="Aptos" w:cs="Aptos"/>
                <w:b w:val="0"/>
                <w:i w:val="0"/>
                <w:color w:val="182028"/>
                <w:sz w:val="18"/>
              </w:rPr>
              <w:t>Verify the bundled charging architecture on representative residential inverter systems.</w:t>
            </w:r>
          </w:p>
        </w:tc>
      </w:tr>
    </w:tbl>
    <w:p>
      <w:pPr>
        <w:spacing w:after="100" w:line="259" w:lineRule="auto"/>
      </w:pPr>
    </w:p>
    <w:p>
      <w:pPr>
        <w:pStyle w:val="Heading2"/>
        <w:spacing w:before="200" w:after="100"/>
        <w:keepNext/>
      </w:pPr>
      <w:r>
        <w:rPr>
          <w:rFonts w:ascii="Aptos" w:hAnsi="Aptos" w:cs="Aptos"/>
          <w:b/>
          <w:color w:val="182028"/>
          <w:sz w:val="26"/>
        </w:rPr>
        <w:t>Validation sequence</w:t>
      </w:r>
    </w:p>
    <w:p>
      <w:pPr>
        <w:pStyle w:val="ListBullet"/>
        <w:spacing w:after="60"/>
        <w:ind w:left="360" w:hanging="173"/>
      </w:pPr>
      <w:r>
        <w:rPr>
          <w:rFonts w:ascii="Aptos" w:hAnsi="Aptos" w:cs="Aptos"/>
          <w:b w:val="0"/>
          <w:i w:val="0"/>
          <w:color w:val="182028"/>
          <w:sz w:val="20"/>
        </w:rPr>
        <w:t>Component characterization → spring stack, PCM material, sensors, selected sodium-ion cell platform.</w:t>
      </w:r>
    </w:p>
    <w:p>
      <w:pPr>
        <w:pStyle w:val="ListBullet"/>
        <w:spacing w:after="60"/>
        <w:ind w:left="360" w:hanging="173"/>
      </w:pPr>
      <w:r>
        <w:rPr>
          <w:rFonts w:ascii="Aptos" w:hAnsi="Aptos" w:cs="Aptos"/>
          <w:b w:val="0"/>
          <w:i w:val="0"/>
          <w:color w:val="182028"/>
          <w:sz w:val="20"/>
        </w:rPr>
        <w:t>Subsystem tests → mechanical, thermal, BMS, and charger behavior independently.</w:t>
      </w:r>
    </w:p>
    <w:p>
      <w:pPr>
        <w:pStyle w:val="ListBullet"/>
        <w:spacing w:after="60"/>
        <w:ind w:left="360" w:hanging="173"/>
      </w:pPr>
      <w:r>
        <w:rPr>
          <w:rFonts w:ascii="Aptos" w:hAnsi="Aptos" w:cs="Aptos"/>
          <w:b w:val="0"/>
          <w:i w:val="0"/>
          <w:color w:val="182028"/>
          <w:sz w:val="20"/>
        </w:rPr>
        <w:t>Integrated prototype → combined electro-thermo-mechanical and electrical operation.</w:t>
      </w:r>
    </w:p>
    <w:p>
      <w:pPr>
        <w:pStyle w:val="ListBullet"/>
        <w:spacing w:after="60"/>
        <w:ind w:left="360" w:hanging="173"/>
      </w:pPr>
      <w:r>
        <w:rPr>
          <w:rFonts w:ascii="Aptos" w:hAnsi="Aptos" w:cs="Aptos"/>
          <w:b w:val="0"/>
          <w:i w:val="0"/>
          <w:color w:val="182028"/>
          <w:sz w:val="20"/>
        </w:rPr>
        <w:t>Cycle and abuse testing → repeated operation, high-ambient conditions, protection events.</w:t>
      </w:r>
    </w:p>
    <w:p>
      <w:pPr>
        <w:pStyle w:val="ListBullet"/>
        <w:spacing w:after="60"/>
        <w:ind w:left="360" w:hanging="173"/>
      </w:pPr>
      <w:r>
        <w:rPr>
          <w:rFonts w:ascii="Aptos" w:hAnsi="Aptos" w:cs="Aptos"/>
          <w:b w:val="0"/>
          <w:i w:val="0"/>
          <w:color w:val="182028"/>
          <w:sz w:val="20"/>
        </w:rPr>
        <w:t>Pilot deployment → controlled field evaluation with measured lifecycle cost and reliability.</w:t>
      </w:r>
    </w:p>
    <w:tbl>
      <w:tblPr>
        <w:tblW w:type="auto" w:w="0"/>
        <w:jc w:val="center"/>
        <w:tblLayout w:type="fixed"/>
        <w:tblLook w:firstColumn="1" w:firstRow="1" w:lastColumn="0" w:lastRow="0" w:noHBand="0" w:noVBand="1" w:val="04A0"/>
      </w:tblPr>
      <w:tblGrid>
        <w:gridCol w:w="9576"/>
      </w:tblGrid>
      <w:tr>
        <w:trPr>
          <w:cantSplit/>
        </w:trPr>
        <w:tc>
          <w:tcPr>
            <w:tcW w:type="dxa" w:w="9835"/>
            <w:shd w:fill="F5F7F8"/>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182028"/>
                <w:sz w:val="18"/>
              </w:rPr>
              <w:t>DESIGN-STAGE LIMITATION</w:t>
            </w:r>
          </w:p>
          <w:p>
            <w:pPr>
              <w:spacing w:after="40" w:line="259" w:lineRule="auto"/>
            </w:pPr>
            <w:r>
              <w:rPr>
                <w:rFonts w:ascii="Aptos" w:hAnsi="Aptos" w:cs="Aptos"/>
                <w:b w:val="0"/>
                <w:i w:val="0"/>
                <w:color w:val="182028"/>
                <w:sz w:val="18"/>
              </w:rPr>
              <w:t>No measured performance result should be inferred from the architecture diagrams or projections in this paper. The value of the current work is the system definition and the validation plan it establishes.</w:t>
            </w:r>
          </w:p>
        </w:tc>
      </w:tr>
    </w:tbl>
    <w:p>
      <w:pPr>
        <w:spacing w:after="100" w:line="259" w:lineRule="auto"/>
      </w:pPr>
    </w:p>
    <w:p>
      <w:pPr>
        <w:spacing w:after="100" w:line="259" w:lineRule="auto"/>
        <w:keepNext/>
      </w:pPr>
      <w:r>
        <w:rPr>
          <w:rFonts w:ascii="Aptos" w:hAnsi="Aptos" w:cs="Aptos"/>
          <w:b/>
          <w:color w:val="2F5F48"/>
          <w:sz w:val="17"/>
        </w:rPr>
        <w:t>13  |  CONCLUSION AND AUTHOR DECLARATION</w:t>
      </w:r>
    </w:p>
    <w:p>
      <w:pPr>
        <w:pStyle w:val="Heading1"/>
        <w:spacing w:before="200" w:after="100"/>
        <w:keepNext/>
      </w:pPr>
      <w:r>
        <w:rPr>
          <w:rFonts w:ascii="Aptos" w:hAnsi="Aptos" w:cs="Aptos"/>
          <w:b/>
          <w:color w:val="182028"/>
          <w:sz w:val="40"/>
        </w:rPr>
        <w:t>NOX Na-POD defines a new pack architecture, not just a new chemistry</w:t>
      </w:r>
    </w:p>
    <w:p>
      <w:pPr>
        <w:spacing w:after="100" w:line="259" w:lineRule="auto"/>
        <w:ind w:firstLine="259"/>
      </w:pPr>
      <w:r>
        <w:rPr>
          <w:rFonts w:ascii="Aptos" w:hAnsi="Aptos" w:cs="Aptos"/>
          <w:b w:val="0"/>
          <w:i w:val="0"/>
          <w:color w:val="182028"/>
          <w:sz w:val="21"/>
        </w:rPr>
        <w:t>NOX Na-POD combines a 4S, 12.8 V, 150 Ah-equivalent sodium-ion pack with a compliant compression system, passive thermal management, and an ESP32-based BMS. The architecture is built around the interaction between expansion, heat, electrical behavior, and inverter charging rather than treating those issues independently.</w:t>
      </w:r>
    </w:p>
    <w:p>
      <w:pPr>
        <w:spacing w:after="100" w:line="259" w:lineRule="auto"/>
        <w:ind w:firstLine="259"/>
      </w:pPr>
      <w:r>
        <w:rPr>
          <w:rFonts w:ascii="Aptos" w:hAnsi="Aptos" w:cs="Aptos"/>
          <w:b w:val="0"/>
          <w:i w:val="0"/>
          <w:color w:val="182028"/>
          <w:sz w:val="21"/>
        </w:rPr>
        <w:t>The mechanical subsystem uses fiberglass confinement, a silicone tolerance layer, Belleville spring compression, and SS304 load-spreading plates. The thermal subsystem combines approximately 1 cm airflow chimneys with a 35–45 °C PCM window. The BMS extends pack awareness through coulomb counting, thermal sensing, impedance-related monitoring, gas detection, and wireless telemetry. The economic model then connects this engineering architecture to an explicit manufacturing and deployment strategy.</w:t>
      </w:r>
    </w:p>
    <w:tbl>
      <w:tblPr>
        <w:tblW w:type="auto" w:w="0"/>
        <w:jc w:val="center"/>
        <w:tblLayout w:type="fixed"/>
        <w:tblLook w:firstColumn="1" w:firstRow="1" w:lastColumn="0" w:lastRow="0" w:noHBand="0" w:noVBand="1" w:val="04A0"/>
      </w:tblPr>
      <w:tblGrid>
        <w:gridCol w:w="9576"/>
      </w:tblGrid>
      <w:tr>
        <w:trPr>
          <w:cantSplit/>
        </w:trPr>
        <w:tc>
          <w:tcPr>
            <w:tcW w:type="dxa" w:w="9835"/>
            <w:shd w:fill="EEF5F1"/>
            <w:tcMar>
              <w:top w:w="140" w:type="dxa"/>
              <w:start w:w="170" w:type="dxa"/>
              <w:bottom w:w="140" w:type="dxa"/>
              <w:end w:w="170" w:type="dxa"/>
            </w:tcMar>
            <w:tcBorders>
              <w:top w:val="single" w:sz="8" w:color="D8DEE2"/>
              <w:left w:val="single" w:sz="18" w:color="4B8A68"/>
              <w:bottom w:val="single" w:sz="8" w:color="D8DEE2"/>
              <w:right w:val="single" w:sz="8" w:color="D8DEE2"/>
            </w:tcBorders>
            <w:vAlign w:val="center"/>
          </w:tcPr>
          <w:p>
            <w:pPr>
              <w:spacing w:after="40"/>
            </w:pPr>
            <w:r>
              <w:rPr>
                <w:rFonts w:ascii="Aptos" w:hAnsi="Aptos" w:cs="Aptos"/>
                <w:b/>
                <w:i w:val="0"/>
                <w:color w:val="2F5F48"/>
                <w:sz w:val="18"/>
              </w:rPr>
              <w:t>FINAL RESEARCH POSITION</w:t>
            </w:r>
          </w:p>
          <w:p>
            <w:pPr>
              <w:spacing w:after="40" w:line="259" w:lineRule="auto"/>
            </w:pPr>
            <w:r>
              <w:rPr>
                <w:rFonts w:ascii="Aptos" w:hAnsi="Aptos" w:cs="Aptos"/>
                <w:b w:val="0"/>
                <w:i w:val="0"/>
                <w:color w:val="182028"/>
                <w:sz w:val="18"/>
              </w:rPr>
              <w:t>The design is ready to move into measured engineering validation. The next milestone is not additional description; it is quantitative proof of the mechanical, thermal, BMS, charging, safety, cycle-life, and cost assumptions defined in this paper.</w:t>
            </w:r>
          </w:p>
        </w:tc>
      </w:tr>
    </w:tbl>
    <w:p>
      <w:pPr>
        <w:spacing w:after="100" w:line="259" w:lineRule="auto"/>
      </w:pPr>
    </w:p>
    <w:p>
      <w:pPr>
        <w:pStyle w:val="Heading2"/>
        <w:spacing w:before="200" w:after="100"/>
        <w:keepNext/>
      </w:pPr>
      <w:r>
        <w:rPr>
          <w:rFonts w:ascii="Aptos" w:hAnsi="Aptos" w:cs="Aptos"/>
          <w:b/>
          <w:color w:val="182028"/>
          <w:sz w:val="26"/>
        </w:rPr>
        <w:t>Author research declaration</w:t>
      </w:r>
    </w:p>
    <w:p>
      <w:pPr>
        <w:spacing w:after="100" w:line="259" w:lineRule="auto"/>
      </w:pPr>
      <w:r>
        <w:rPr>
          <w:rFonts w:ascii="Aptos" w:hAnsi="Aptos" w:cs="Aptos"/>
          <w:b w:val="0"/>
          <w:i w:val="0"/>
          <w:color w:val="182028"/>
          <w:sz w:val="21"/>
        </w:rPr>
        <w:t>This manuscript is a self-authored engineering research paper for the NOX Na-POD program. The system concept, architecture, mechanical approach, passive thermal strategy, BMS architecture, quantitative calculations, economic model, risk framing, and research roadmap presented here are part of the author’s NOX Na-POD research work.</w:t>
      </w:r>
    </w:p>
    <w:p>
      <w:pPr>
        <w:spacing w:after="100" w:line="259" w:lineRule="auto"/>
      </w:pPr>
      <w:r>
        <w:rPr>
          <w:rFonts w:ascii="Aptos" w:hAnsi="Aptos" w:cs="Aptos"/>
          <w:b w:val="0"/>
          <w:i w:val="0"/>
          <w:color w:val="182028"/>
          <w:sz w:val="21"/>
        </w:rPr>
        <w:t>The paper intentionally distinguishes design targets, derived quantities, projections, and future validation work so that intended performance is not presented as measured performance.</w:t>
      </w:r>
    </w:p>
    <w:p>
      <w:pPr>
        <w:spacing w:after="100" w:line="259" w:lineRule="auto"/>
      </w:pPr>
    </w:p>
    <w:sectPr w:rsidR="00FC693F" w:rsidRPr="0006063C" w:rsidSect="00034616">
      <w:headerReference w:type="default" r:id="rId9"/>
      <w:footerReference w:type="default" r:id="rId10"/>
      <w:pgSz w:w="11909" w:h="16834"/>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6"/>
      </w:rPr>
      <w:t xml:space="preserve">NOX Na-POD  •  Seraladen S  •  September 2026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s="Aptos"/>
        <w:b w:val="0"/>
        <w:i w:val="0"/>
        <w:color w:val="56616B"/>
        <w:sz w:val="16"/>
      </w:rPr>
      <w:t>NOX Na-POD  |  ORIGINAL ENGINEERING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820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182028"/>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2F5F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Label">
    <w:name w:val="Front Label"/>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NOX Na-POD — Original Engineering Research Paper</dc:title>
  <dc:subject>Mechanically constrained sodium-ion drop-in energy storage for residential inverter applications</dc:subject>
  <dc:creator>Seraladen S</dc:creator>
  <cp:keywords>NOX Na-POD, sodium-ion, battery, BMS, thermal management, Belleville spring, inverter</cp:keywords>
  <dc:description>Self-authored design-stage engineering research paper.</dc:description>
  <cp:lastModifiedBy/>
  <cp:revision>1</cp:revision>
  <dcterms:created xsi:type="dcterms:W3CDTF">2013-12-23T23:15:00Z</dcterms:created>
  <dcterms:modified xsi:type="dcterms:W3CDTF">2013-12-23T23:15:00Z</dcterms:modified>
  <cp:category/>
</cp:coreProperties>
</file>