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F522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Informe de Arquitectura Técnica: Sistema de Orquestación AI-BPO</w:t>
      </w:r>
    </w:p>
    <w:p w14:paraId="2B48F3B7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1. Resumen Ejecutivo</w:t>
      </w:r>
    </w:p>
    <w:p w14:paraId="28BA8F92" w14:textId="77777777" w:rsidR="0029399F" w:rsidRPr="0029399F" w:rsidRDefault="0029399F" w:rsidP="0029399F">
      <w:r w:rsidRPr="0029399F">
        <w:t xml:space="preserve">Se propone una solución de </w:t>
      </w:r>
      <w:proofErr w:type="spellStart"/>
      <w:r w:rsidRPr="0029399F">
        <w:t>backend</w:t>
      </w:r>
      <w:proofErr w:type="spellEnd"/>
      <w:r w:rsidRPr="0029399F">
        <w:t xml:space="preserve"> basada en un microservicio asíncrono diseñado para automatizar el procesamiento de solicitudes de clientes. La arquitectura utiliza un enfoque </w:t>
      </w:r>
      <w:r w:rsidRPr="0029399F">
        <w:rPr>
          <w:b/>
          <w:bCs/>
        </w:rPr>
        <w:t>Data-</w:t>
      </w:r>
      <w:proofErr w:type="spellStart"/>
      <w:r w:rsidRPr="0029399F">
        <w:rPr>
          <w:b/>
          <w:bCs/>
        </w:rPr>
        <w:t>Driven</w:t>
      </w:r>
      <w:proofErr w:type="spellEnd"/>
      <w:r w:rsidRPr="0029399F">
        <w:t>, donde el comportamiento del Agente de IA se adapta dinámicamente según la configuración de cada empresa almacenada en una base de datos NoSQL, garantizando escalabilidad y mantenibilidad sin necesidad de despliegues constantes de código.</w:t>
      </w:r>
    </w:p>
    <w:p w14:paraId="18229095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2. Componentes y Responsabilidades</w:t>
      </w:r>
    </w:p>
    <w:p w14:paraId="011174FB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A. Capa de Aplicación (</w:t>
      </w:r>
      <w:proofErr w:type="spellStart"/>
      <w:r w:rsidRPr="0029399F">
        <w:rPr>
          <w:b/>
          <w:bCs/>
        </w:rPr>
        <w:t>FastAPI</w:t>
      </w:r>
      <w:proofErr w:type="spellEnd"/>
      <w:r w:rsidRPr="0029399F">
        <w:rPr>
          <w:b/>
          <w:bCs/>
        </w:rPr>
        <w:t xml:space="preserve"> + </w:t>
      </w:r>
      <w:proofErr w:type="spellStart"/>
      <w:r w:rsidRPr="0029399F">
        <w:rPr>
          <w:b/>
          <w:bCs/>
        </w:rPr>
        <w:t>LangChain</w:t>
      </w:r>
      <w:proofErr w:type="spellEnd"/>
      <w:r w:rsidRPr="0029399F">
        <w:rPr>
          <w:b/>
          <w:bCs/>
        </w:rPr>
        <w:t>)</w:t>
      </w:r>
    </w:p>
    <w:p w14:paraId="15C1744A" w14:textId="1B6E23D2" w:rsidR="0029399F" w:rsidRPr="0029399F" w:rsidRDefault="0029399F" w:rsidP="0029399F">
      <w:pPr>
        <w:numPr>
          <w:ilvl w:val="0"/>
          <w:numId w:val="1"/>
        </w:numPr>
      </w:pPr>
      <w:proofErr w:type="spellStart"/>
      <w:r w:rsidRPr="0029399F">
        <w:rPr>
          <w:b/>
          <w:bCs/>
        </w:rPr>
        <w:t>FastAPI</w:t>
      </w:r>
      <w:proofErr w:type="spellEnd"/>
      <w:r w:rsidRPr="0029399F">
        <w:rPr>
          <w:b/>
          <w:bCs/>
        </w:rPr>
        <w:t>:</w:t>
      </w:r>
      <w:r w:rsidRPr="0029399F">
        <w:t xml:space="preserve"> Actúa como el núcleo del microservicio, gestionando solicitudes HTTP de forma asíncrona para maximizar el bajo alta concurrencia</w:t>
      </w:r>
      <w:r w:rsidRPr="0029399F">
        <w:t xml:space="preserve">, además genera automáticamente la documentación utilizando </w:t>
      </w:r>
      <w:proofErr w:type="spellStart"/>
      <w:r w:rsidRPr="0029399F">
        <w:t>swagger</w:t>
      </w:r>
      <w:proofErr w:type="spellEnd"/>
      <w:r w:rsidRPr="0029399F">
        <w:t>.</w:t>
      </w:r>
    </w:p>
    <w:p w14:paraId="3996E9B7" w14:textId="57D3FBB3" w:rsidR="0029399F" w:rsidRPr="0029399F" w:rsidRDefault="0029399F" w:rsidP="0029399F">
      <w:pPr>
        <w:numPr>
          <w:ilvl w:val="0"/>
          <w:numId w:val="1"/>
        </w:numPr>
      </w:pPr>
      <w:proofErr w:type="spellStart"/>
      <w:r w:rsidRPr="0029399F">
        <w:rPr>
          <w:b/>
          <w:bCs/>
        </w:rPr>
        <w:t>LangChain</w:t>
      </w:r>
      <w:proofErr w:type="spellEnd"/>
      <w:r w:rsidRPr="0029399F">
        <w:rPr>
          <w:b/>
          <w:bCs/>
        </w:rPr>
        <w:t xml:space="preserve"> &amp; Google Gemini:</w:t>
      </w:r>
      <w:r w:rsidRPr="0029399F">
        <w:t xml:space="preserve"> El orquestador de IA utiliza el modelo Gemini-1.5-Flash para clasificar solicitudes, asignar prioridades y generar respuestas estructuradas. Se implementa </w:t>
      </w:r>
      <w:proofErr w:type="spellStart"/>
      <w:r w:rsidRPr="0029399F">
        <w:rPr>
          <w:b/>
          <w:bCs/>
        </w:rPr>
        <w:t>Structured</w:t>
      </w:r>
      <w:proofErr w:type="spellEnd"/>
      <w:r w:rsidRPr="0029399F">
        <w:rPr>
          <w:b/>
          <w:bCs/>
        </w:rPr>
        <w:t xml:space="preserve"> Output</w:t>
      </w:r>
      <w:r w:rsidRPr="0029399F">
        <w:t xml:space="preserve"> mediante modelos de </w:t>
      </w:r>
      <w:proofErr w:type="spellStart"/>
      <w:r w:rsidRPr="0029399F">
        <w:t>Pydantic</w:t>
      </w:r>
      <w:proofErr w:type="spellEnd"/>
      <w:r w:rsidRPr="0029399F">
        <w:t xml:space="preserve"> para asegurar que la salida del LLM cumpla siempre con el esquema JSON requerido</w:t>
      </w:r>
      <w:r w:rsidRPr="0029399F">
        <w:t xml:space="preserve">, y </w:t>
      </w:r>
      <w:proofErr w:type="spellStart"/>
      <w:r w:rsidRPr="0029399F">
        <w:t>schemas</w:t>
      </w:r>
      <w:proofErr w:type="spellEnd"/>
      <w:r w:rsidRPr="0029399F">
        <w:t xml:space="preserve"> para garantizar que se distingan las variables de resultado y respuestas</w:t>
      </w:r>
      <w:r w:rsidRPr="0029399F">
        <w:t>.</w:t>
      </w:r>
      <w:r w:rsidR="00620B05">
        <w:t xml:space="preserve"> En este caso no fue necesario </w:t>
      </w:r>
      <w:proofErr w:type="gramStart"/>
      <w:r w:rsidR="00620B05">
        <w:t xml:space="preserve">utilizar  </w:t>
      </w:r>
      <w:proofErr w:type="spellStart"/>
      <w:r w:rsidR="00620B05">
        <w:t>InMemorySaver</w:t>
      </w:r>
      <w:proofErr w:type="spellEnd"/>
      <w:proofErr w:type="gramEnd"/>
      <w:r w:rsidR="00620B05">
        <w:t xml:space="preserve"> para la memoria del agente.</w:t>
      </w:r>
    </w:p>
    <w:p w14:paraId="6D90E49C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 xml:space="preserve">B. Capa de Datos (MongoDB / </w:t>
      </w:r>
      <w:proofErr w:type="spellStart"/>
      <w:r w:rsidRPr="0029399F">
        <w:rPr>
          <w:b/>
          <w:bCs/>
        </w:rPr>
        <w:t>DocumentDB</w:t>
      </w:r>
      <w:proofErr w:type="spellEnd"/>
      <w:r w:rsidRPr="0029399F">
        <w:rPr>
          <w:b/>
          <w:bCs/>
        </w:rPr>
        <w:t>)</w:t>
      </w:r>
    </w:p>
    <w:p w14:paraId="6A9F35FF" w14:textId="77777777" w:rsidR="0029399F" w:rsidRPr="0029399F" w:rsidRDefault="0029399F" w:rsidP="0029399F">
      <w:pPr>
        <w:numPr>
          <w:ilvl w:val="0"/>
          <w:numId w:val="2"/>
        </w:numPr>
      </w:pPr>
      <w:r w:rsidRPr="0029399F">
        <w:rPr>
          <w:b/>
          <w:bCs/>
        </w:rPr>
        <w:t>Colección empresas:</w:t>
      </w:r>
      <w:r w:rsidRPr="0029399F">
        <w:t xml:space="preserve"> Almacena metadatos críticos, categorías permitidas, reglas de prioridad y rutas de delegación.</w:t>
      </w:r>
    </w:p>
    <w:p w14:paraId="78E76541" w14:textId="77777777" w:rsidR="0029399F" w:rsidRPr="0029399F" w:rsidRDefault="0029399F" w:rsidP="0029399F">
      <w:pPr>
        <w:numPr>
          <w:ilvl w:val="0"/>
          <w:numId w:val="2"/>
        </w:numPr>
      </w:pPr>
      <w:r w:rsidRPr="0029399F">
        <w:rPr>
          <w:b/>
          <w:bCs/>
        </w:rPr>
        <w:t>Colección casos:</w:t>
      </w:r>
      <w:r w:rsidRPr="0029399F">
        <w:t xml:space="preserve"> Repositorio de auditoría donde se persiste cada interacción, facilitando la trazabilidad y la detección de solicitudes duplicadas.</w:t>
      </w:r>
    </w:p>
    <w:p w14:paraId="602464D9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C. Herramientas de Integración (Tools)</w:t>
      </w:r>
    </w:p>
    <w:p w14:paraId="57AFE44B" w14:textId="32F53137" w:rsidR="0029399F" w:rsidRPr="0029399F" w:rsidRDefault="0029399F" w:rsidP="0029399F">
      <w:pPr>
        <w:numPr>
          <w:ilvl w:val="0"/>
          <w:numId w:val="3"/>
        </w:numPr>
      </w:pPr>
      <w:r w:rsidRPr="0029399F">
        <w:t>Módulos desacoplados que permiten al agente interactuar con servicios externos (ej. consulta de API para Mensajería del Valle). Esta capa permite que las capacidades del agente crezcan de forma modular</w:t>
      </w:r>
      <w:r>
        <w:t xml:space="preserve">, en este ejercicio solo fue necesario crear una </w:t>
      </w:r>
      <w:proofErr w:type="spellStart"/>
      <w:r>
        <w:t>tool</w:t>
      </w:r>
      <w:proofErr w:type="spellEnd"/>
      <w:r w:rsidRPr="0029399F">
        <w:t>.</w:t>
      </w:r>
    </w:p>
    <w:p w14:paraId="57CDAF79" w14:textId="77777777" w:rsidR="0029399F" w:rsidRPr="0029399F" w:rsidRDefault="0029399F" w:rsidP="0029399F"/>
    <w:p w14:paraId="75A0D6A4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lastRenderedPageBreak/>
        <w:t>3. Desacoplamiento y Escalabilidad</w:t>
      </w:r>
    </w:p>
    <w:p w14:paraId="36575A66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Estrategia de Desacoplamiento</w:t>
      </w:r>
    </w:p>
    <w:p w14:paraId="5033C89B" w14:textId="536B2E9F" w:rsidR="0029399F" w:rsidRPr="0029399F" w:rsidRDefault="0029399F" w:rsidP="0029399F">
      <w:pPr>
        <w:numPr>
          <w:ilvl w:val="0"/>
          <w:numId w:val="4"/>
        </w:numPr>
      </w:pPr>
      <w:r w:rsidRPr="0029399F">
        <w:rPr>
          <w:b/>
          <w:bCs/>
        </w:rPr>
        <w:t>Lógica de Negocio vs. Código:</w:t>
      </w:r>
      <w:r w:rsidRPr="0029399F">
        <w:t xml:space="preserve"> Las reglas de cada empresa no residen en el código (</w:t>
      </w:r>
      <w:proofErr w:type="spellStart"/>
      <w:r w:rsidRPr="0029399F">
        <w:t>hardcode</w:t>
      </w:r>
      <w:r w:rsidR="00620B05">
        <w:t>ado</w:t>
      </w:r>
      <w:proofErr w:type="spellEnd"/>
      <w:r w:rsidRPr="0029399F">
        <w:t xml:space="preserve">), sino que se inyectan en el </w:t>
      </w:r>
      <w:proofErr w:type="spellStart"/>
      <w:r w:rsidRPr="0029399F">
        <w:t>prompt</w:t>
      </w:r>
      <w:proofErr w:type="spellEnd"/>
      <w:r w:rsidRPr="0029399F">
        <w:t xml:space="preserve"> del sistema desde la base de datos. Esto permite que el componente de IA sea agnóstico al cliente procesado.</w:t>
      </w:r>
    </w:p>
    <w:p w14:paraId="6DA3BC12" w14:textId="77777777" w:rsidR="0029399F" w:rsidRPr="0029399F" w:rsidRDefault="0029399F" w:rsidP="0029399F">
      <w:pPr>
        <w:numPr>
          <w:ilvl w:val="0"/>
          <w:numId w:val="4"/>
        </w:numPr>
      </w:pPr>
      <w:r w:rsidRPr="0029399F">
        <w:rPr>
          <w:b/>
          <w:bCs/>
        </w:rPr>
        <w:t>Modularidad de Tools:</w:t>
      </w:r>
      <w:r w:rsidRPr="0029399F">
        <w:t xml:space="preserve"> Las herramientas de integración residen en una capa independiente, lo que permite testear y actualizar conectores externos sin afectar el núcleo del orquestador.</w:t>
      </w:r>
    </w:p>
    <w:p w14:paraId="3D72EF9B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Soporte al Crecimiento</w:t>
      </w:r>
    </w:p>
    <w:p w14:paraId="7D5EEAE4" w14:textId="77777777" w:rsidR="0029399F" w:rsidRPr="0029399F" w:rsidRDefault="0029399F" w:rsidP="0029399F">
      <w:pPr>
        <w:numPr>
          <w:ilvl w:val="0"/>
          <w:numId w:val="5"/>
        </w:numPr>
      </w:pPr>
      <w:r w:rsidRPr="0029399F">
        <w:rPr>
          <w:b/>
          <w:bCs/>
        </w:rPr>
        <w:t>Crecimiento en Clientes:</w:t>
      </w:r>
      <w:r w:rsidRPr="0029399F">
        <w:t xml:space="preserve"> La infraestructura permite integrar una nueva compañía simplemente añadiendo un documento de configuración en MongoDB.</w:t>
      </w:r>
    </w:p>
    <w:p w14:paraId="3D662803" w14:textId="77777777" w:rsidR="0029399F" w:rsidRPr="0029399F" w:rsidRDefault="0029399F" w:rsidP="0029399F">
      <w:pPr>
        <w:numPr>
          <w:ilvl w:val="0"/>
          <w:numId w:val="5"/>
        </w:numPr>
      </w:pPr>
      <w:r w:rsidRPr="0029399F">
        <w:rPr>
          <w:b/>
          <w:bCs/>
        </w:rPr>
        <w:t>Crecimiento en Categorías:</w:t>
      </w:r>
      <w:r w:rsidRPr="0029399F">
        <w:t xml:space="preserve"> El sistema soporta N categorías por empresa. Al estar </w:t>
      </w:r>
      <w:proofErr w:type="spellStart"/>
      <w:r w:rsidRPr="0029399F">
        <w:t>tipadas</w:t>
      </w:r>
      <w:proofErr w:type="spellEnd"/>
      <w:r w:rsidRPr="0029399F">
        <w:t xml:space="preserve"> como una lista en el JSON de configuración, el agente ajusta su espectro de clasificación en tiempo real.</w:t>
      </w:r>
    </w:p>
    <w:p w14:paraId="1319C63F" w14:textId="77777777" w:rsidR="0029399F" w:rsidRPr="0029399F" w:rsidRDefault="0029399F" w:rsidP="0029399F">
      <w:pPr>
        <w:numPr>
          <w:ilvl w:val="0"/>
          <w:numId w:val="5"/>
        </w:numPr>
      </w:pPr>
      <w:r w:rsidRPr="0029399F">
        <w:rPr>
          <w:b/>
          <w:bCs/>
        </w:rPr>
        <w:t>Escalabilidad Horizontal:</w:t>
      </w:r>
      <w:r w:rsidRPr="0029399F">
        <w:t xml:space="preserve"> Al ser un servicio </w:t>
      </w:r>
      <w:proofErr w:type="spellStart"/>
      <w:r w:rsidRPr="0029399F">
        <w:t>Stateless</w:t>
      </w:r>
      <w:proofErr w:type="spellEnd"/>
      <w:r w:rsidRPr="0029399F">
        <w:t xml:space="preserve">, el </w:t>
      </w:r>
      <w:proofErr w:type="spellStart"/>
      <w:r w:rsidRPr="0029399F">
        <w:t>backend</w:t>
      </w:r>
      <w:proofErr w:type="spellEnd"/>
      <w:r w:rsidRPr="0029399F">
        <w:t xml:space="preserve"> puede replicarse en múltiples instancias sin conflictos, ya que toda la persistencia reside en la base de datos distribuida.</w:t>
      </w:r>
    </w:p>
    <w:p w14:paraId="7CF95F2B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4. Propuesta de Despliegue Cloud (AWS)</w:t>
      </w:r>
    </w:p>
    <w:p w14:paraId="05C4EC83" w14:textId="77777777" w:rsidR="0029399F" w:rsidRPr="0029399F" w:rsidRDefault="0029399F" w:rsidP="0029399F">
      <w:r w:rsidRPr="0029399F">
        <w:t xml:space="preserve">Para garantizar un entorno de producción de misión crítica, se propone el despliegue en la región </w:t>
      </w:r>
      <w:r w:rsidRPr="0029399F">
        <w:rPr>
          <w:b/>
          <w:bCs/>
        </w:rPr>
        <w:t>us-east-1</w:t>
      </w:r>
      <w:r w:rsidRPr="0029399F">
        <w:t xml:space="preserve"> utilizando instancias de cómputo elástico:</w:t>
      </w:r>
    </w:p>
    <w:p w14:paraId="6EB202AD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Cómputo y Balanceo</w:t>
      </w:r>
    </w:p>
    <w:p w14:paraId="3E1DA3AE" w14:textId="77777777" w:rsidR="0029399F" w:rsidRPr="0029399F" w:rsidRDefault="0029399F" w:rsidP="0029399F">
      <w:pPr>
        <w:numPr>
          <w:ilvl w:val="0"/>
          <w:numId w:val="6"/>
        </w:numPr>
      </w:pPr>
      <w:r w:rsidRPr="0029399F">
        <w:rPr>
          <w:b/>
          <w:bCs/>
        </w:rPr>
        <w:t xml:space="preserve">Amazon EC2 &amp; Auto </w:t>
      </w:r>
      <w:proofErr w:type="spellStart"/>
      <w:r w:rsidRPr="0029399F">
        <w:rPr>
          <w:b/>
          <w:bCs/>
        </w:rPr>
        <w:t>Scaling</w:t>
      </w:r>
      <w:proofErr w:type="spellEnd"/>
      <w:r w:rsidRPr="0029399F">
        <w:rPr>
          <w:b/>
          <w:bCs/>
        </w:rPr>
        <w:t xml:space="preserve"> Group (ASG):</w:t>
      </w:r>
      <w:r w:rsidRPr="0029399F">
        <w:t xml:space="preserve"> La aplicación se despliega en instancias EC2 distribuidas en múltiples Zonas de Disponibilidad. El ASG utiliza una Amazon Machine </w:t>
      </w:r>
      <w:proofErr w:type="spellStart"/>
      <w:r w:rsidRPr="0029399F">
        <w:t>Image</w:t>
      </w:r>
      <w:proofErr w:type="spellEnd"/>
      <w:r w:rsidRPr="0029399F">
        <w:t xml:space="preserve"> (AMI) preconfigurada para lanzar nuevas instancias automáticamente ante incrementos en la demanda (CPU/RAM), garantizando que el servicio escale según el tráfico.</w:t>
      </w:r>
    </w:p>
    <w:p w14:paraId="121D155E" w14:textId="77777777" w:rsidR="0029399F" w:rsidRPr="0029399F" w:rsidRDefault="0029399F" w:rsidP="0029399F">
      <w:pPr>
        <w:numPr>
          <w:ilvl w:val="0"/>
          <w:numId w:val="6"/>
        </w:numPr>
      </w:pPr>
      <w:proofErr w:type="spellStart"/>
      <w:r w:rsidRPr="0029399F">
        <w:rPr>
          <w:b/>
          <w:bCs/>
        </w:rPr>
        <w:t>Application</w:t>
      </w:r>
      <w:proofErr w:type="spellEnd"/>
      <w:r w:rsidRPr="0029399F">
        <w:rPr>
          <w:b/>
          <w:bCs/>
        </w:rPr>
        <w:t xml:space="preserve"> Load </w:t>
      </w:r>
      <w:proofErr w:type="spellStart"/>
      <w:r w:rsidRPr="0029399F">
        <w:rPr>
          <w:b/>
          <w:bCs/>
        </w:rPr>
        <w:t>Balancer</w:t>
      </w:r>
      <w:proofErr w:type="spellEnd"/>
      <w:r w:rsidRPr="0029399F">
        <w:rPr>
          <w:b/>
          <w:bCs/>
        </w:rPr>
        <w:t xml:space="preserve"> (ALB):</w:t>
      </w:r>
      <w:r w:rsidRPr="0029399F">
        <w:t xml:space="preserve"> Punto único de entrada que distribuye el tráfico de forma balanceada entre las instancias activas del ASG, realizando </w:t>
      </w:r>
      <w:proofErr w:type="spellStart"/>
      <w:r w:rsidRPr="0029399F">
        <w:t>health</w:t>
      </w:r>
      <w:proofErr w:type="spellEnd"/>
      <w:r w:rsidRPr="0029399F">
        <w:t xml:space="preserve"> </w:t>
      </w:r>
      <w:proofErr w:type="spellStart"/>
      <w:r w:rsidRPr="0029399F">
        <w:t>checks</w:t>
      </w:r>
      <w:proofErr w:type="spellEnd"/>
      <w:r w:rsidRPr="0029399F">
        <w:t xml:space="preserve"> constantes para asegurar que solo las instancias saludables reciban peticiones.</w:t>
      </w:r>
    </w:p>
    <w:p w14:paraId="00C971BF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lastRenderedPageBreak/>
        <w:t>Red y Seguridad</w:t>
      </w:r>
    </w:p>
    <w:p w14:paraId="4B1D6183" w14:textId="77777777" w:rsidR="0029399F" w:rsidRPr="0029399F" w:rsidRDefault="0029399F" w:rsidP="0029399F">
      <w:pPr>
        <w:numPr>
          <w:ilvl w:val="0"/>
          <w:numId w:val="7"/>
        </w:numPr>
      </w:pPr>
      <w:r w:rsidRPr="0029399F">
        <w:rPr>
          <w:b/>
          <w:bCs/>
        </w:rPr>
        <w:t xml:space="preserve">AWS WAF (Web </w:t>
      </w:r>
      <w:proofErr w:type="spellStart"/>
      <w:r w:rsidRPr="0029399F">
        <w:rPr>
          <w:b/>
          <w:bCs/>
        </w:rPr>
        <w:t>Application</w:t>
      </w:r>
      <w:proofErr w:type="spellEnd"/>
      <w:r w:rsidRPr="0029399F">
        <w:rPr>
          <w:b/>
          <w:bCs/>
        </w:rPr>
        <w:t xml:space="preserve"> Firewall):</w:t>
      </w:r>
      <w:r w:rsidRPr="0029399F">
        <w:t xml:space="preserve"> Capa de seguridad perimetral para mitigar ataques como inyecciones o </w:t>
      </w:r>
      <w:proofErr w:type="spellStart"/>
      <w:r w:rsidRPr="0029399F">
        <w:t>bots</w:t>
      </w:r>
      <w:proofErr w:type="spellEnd"/>
      <w:r w:rsidRPr="0029399F">
        <w:t xml:space="preserve"> antes de llegar al balanceador.</w:t>
      </w:r>
    </w:p>
    <w:p w14:paraId="4132B01D" w14:textId="77777777" w:rsidR="0029399F" w:rsidRPr="0029399F" w:rsidRDefault="0029399F" w:rsidP="0029399F">
      <w:pPr>
        <w:numPr>
          <w:ilvl w:val="0"/>
          <w:numId w:val="7"/>
        </w:numPr>
      </w:pPr>
      <w:r w:rsidRPr="0029399F">
        <w:rPr>
          <w:b/>
          <w:bCs/>
        </w:rPr>
        <w:t>VPC con Subredes Privadas:</w:t>
      </w:r>
      <w:r w:rsidRPr="0029399F">
        <w:t xml:space="preserve"> Las instancias EC2 de la aplicación y la base de datos residen en subredes privadas, protegidas de la internet pública.</w:t>
      </w:r>
    </w:p>
    <w:p w14:paraId="509B1F74" w14:textId="77777777" w:rsidR="0029399F" w:rsidRPr="0029399F" w:rsidRDefault="0029399F" w:rsidP="0029399F">
      <w:pPr>
        <w:numPr>
          <w:ilvl w:val="0"/>
          <w:numId w:val="7"/>
        </w:numPr>
      </w:pPr>
      <w:r w:rsidRPr="0029399F">
        <w:rPr>
          <w:b/>
          <w:bCs/>
        </w:rPr>
        <w:t xml:space="preserve">NAT </w:t>
      </w:r>
      <w:proofErr w:type="spellStart"/>
      <w:r w:rsidRPr="0029399F">
        <w:rPr>
          <w:b/>
          <w:bCs/>
        </w:rPr>
        <w:t>Gateways</w:t>
      </w:r>
      <w:proofErr w:type="spellEnd"/>
      <w:r w:rsidRPr="0029399F">
        <w:rPr>
          <w:b/>
          <w:bCs/>
        </w:rPr>
        <w:t>:</w:t>
      </w:r>
      <w:r w:rsidRPr="0029399F">
        <w:t xml:space="preserve"> Redundantes por Zona de Disponibilidad, permiten que las instancias EC2 consulten de forma segura la API de Google Gemini mientras permanecen en una red privada.</w:t>
      </w:r>
    </w:p>
    <w:p w14:paraId="6A127397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Persistencia</w:t>
      </w:r>
    </w:p>
    <w:p w14:paraId="708FAF91" w14:textId="617153EF" w:rsidR="0029399F" w:rsidRPr="0029399F" w:rsidRDefault="0029399F" w:rsidP="0029399F">
      <w:pPr>
        <w:numPr>
          <w:ilvl w:val="0"/>
          <w:numId w:val="8"/>
        </w:numPr>
      </w:pPr>
      <w:r w:rsidRPr="0029399F">
        <w:rPr>
          <w:b/>
          <w:bCs/>
        </w:rPr>
        <w:t xml:space="preserve">Amazon </w:t>
      </w:r>
      <w:proofErr w:type="spellStart"/>
      <w:r w:rsidRPr="0029399F">
        <w:rPr>
          <w:b/>
          <w:bCs/>
        </w:rPr>
        <w:t>DocumentDB</w:t>
      </w:r>
      <w:proofErr w:type="spellEnd"/>
      <w:r w:rsidRPr="0029399F">
        <w:rPr>
          <w:b/>
          <w:bCs/>
        </w:rPr>
        <w:t xml:space="preserve"> (</w:t>
      </w:r>
      <w:proofErr w:type="gramStart"/>
      <w:r w:rsidRPr="0029399F">
        <w:rPr>
          <w:b/>
          <w:bCs/>
        </w:rPr>
        <w:t>Cluster</w:t>
      </w:r>
      <w:proofErr w:type="gramEnd"/>
      <w:r w:rsidRPr="0029399F">
        <w:rPr>
          <w:b/>
          <w:bCs/>
        </w:rPr>
        <w:t xml:space="preserve"> Multi-AZ):</w:t>
      </w:r>
      <w:r w:rsidRPr="0029399F">
        <w:t xml:space="preserve"> Base de datos gestionada y compatible con MongoDB. Se configura con un </w:t>
      </w:r>
      <w:proofErr w:type="spellStart"/>
      <w:proofErr w:type="gramStart"/>
      <w:r w:rsidRPr="0029399F">
        <w:t>cluster</w:t>
      </w:r>
      <w:proofErr w:type="spellEnd"/>
      <w:proofErr w:type="gramEnd"/>
      <w:r w:rsidRPr="0029399F">
        <w:t xml:space="preserve"> de alta disponibilidad (instancia primaria y réplicas) distribuido en diferentes zonas para asegurar resiliencia ante fallos regionales.</w:t>
      </w:r>
    </w:p>
    <w:p w14:paraId="534F2FAE" w14:textId="77777777" w:rsidR="0029399F" w:rsidRPr="0029399F" w:rsidRDefault="0029399F" w:rsidP="0029399F">
      <w:pPr>
        <w:rPr>
          <w:b/>
          <w:bCs/>
        </w:rPr>
      </w:pPr>
      <w:r w:rsidRPr="0029399F">
        <w:rPr>
          <w:b/>
          <w:bCs/>
        </w:rPr>
        <w:t>5. Justificación de Seguridad</w:t>
      </w:r>
    </w:p>
    <w:p w14:paraId="1FE51688" w14:textId="77777777" w:rsidR="0029399F" w:rsidRPr="0029399F" w:rsidRDefault="0029399F" w:rsidP="0029399F">
      <w:r w:rsidRPr="0029399F">
        <w:t xml:space="preserve">El diseño implementa el principio de </w:t>
      </w:r>
      <w:r w:rsidRPr="0029399F">
        <w:rPr>
          <w:b/>
          <w:bCs/>
        </w:rPr>
        <w:t>Defensa en Profundidad</w:t>
      </w:r>
      <w:r w:rsidRPr="0029399F">
        <w:t>:</w:t>
      </w:r>
    </w:p>
    <w:p w14:paraId="329E1D99" w14:textId="77777777" w:rsidR="0029399F" w:rsidRPr="0029399F" w:rsidRDefault="0029399F" w:rsidP="0029399F">
      <w:pPr>
        <w:numPr>
          <w:ilvl w:val="0"/>
          <w:numId w:val="9"/>
        </w:numPr>
      </w:pPr>
      <w:r w:rsidRPr="0029399F">
        <w:rPr>
          <w:b/>
          <w:bCs/>
        </w:rPr>
        <w:t>Validación de Esquemas:</w:t>
      </w:r>
      <w:r w:rsidRPr="0029399F">
        <w:t xml:space="preserve"> Uso de </w:t>
      </w:r>
      <w:proofErr w:type="spellStart"/>
      <w:r w:rsidRPr="0029399F">
        <w:t>Pydantic</w:t>
      </w:r>
      <w:proofErr w:type="spellEnd"/>
      <w:r w:rsidRPr="0029399F">
        <w:t xml:space="preserve"> para prevenir el procesamiento de datos malformados.</w:t>
      </w:r>
    </w:p>
    <w:p w14:paraId="76E24747" w14:textId="4B19BAC8" w:rsidR="0029399F" w:rsidRPr="0029399F" w:rsidRDefault="0029399F" w:rsidP="0029399F">
      <w:pPr>
        <w:numPr>
          <w:ilvl w:val="0"/>
          <w:numId w:val="9"/>
        </w:numPr>
      </w:pPr>
      <w:r w:rsidRPr="0029399F">
        <w:rPr>
          <w:b/>
          <w:bCs/>
        </w:rPr>
        <w:t>Aislamiento de Red:</w:t>
      </w:r>
      <w:r w:rsidRPr="0029399F">
        <w:t xml:space="preserve"> Security </w:t>
      </w:r>
      <w:proofErr w:type="spellStart"/>
      <w:r w:rsidRPr="0029399F">
        <w:t>Groups</w:t>
      </w:r>
      <w:proofErr w:type="spellEnd"/>
      <w:r w:rsidRPr="0029399F">
        <w:t xml:space="preserve"> que restringen el tráfico entrante a la base de datos únicamente desde el Security Group de las instancias EC2.</w:t>
      </w:r>
    </w:p>
    <w:p w14:paraId="61D560AF" w14:textId="06AE6BD0" w:rsidR="0029399F" w:rsidRPr="0029399F" w:rsidRDefault="0029399F" w:rsidP="0029399F">
      <w:pPr>
        <w:numPr>
          <w:ilvl w:val="0"/>
          <w:numId w:val="9"/>
        </w:numPr>
      </w:pPr>
      <w:r w:rsidRPr="0029399F">
        <w:rPr>
          <w:b/>
          <w:bCs/>
        </w:rPr>
        <w:t>Gestión de Secretos:</w:t>
      </w:r>
      <w:r w:rsidRPr="0029399F">
        <w:t xml:space="preserve"> Uso de variables de entorno protegidas para el manejo de API Keys y credenciales de acceso</w:t>
      </w:r>
      <w:r w:rsidRPr="0029399F">
        <w:t xml:space="preserve"> a las bases de datos</w:t>
      </w:r>
      <w:r w:rsidRPr="0029399F">
        <w:t>.</w:t>
      </w:r>
    </w:p>
    <w:p w14:paraId="15A9C460" w14:textId="77777777" w:rsidR="0029399F" w:rsidRPr="0029399F" w:rsidRDefault="0029399F"/>
    <w:sectPr w:rsidR="0029399F" w:rsidRPr="002939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352"/>
    <w:multiLevelType w:val="multilevel"/>
    <w:tmpl w:val="1B0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66E6A"/>
    <w:multiLevelType w:val="multilevel"/>
    <w:tmpl w:val="2F5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E16FC"/>
    <w:multiLevelType w:val="multilevel"/>
    <w:tmpl w:val="E12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2DF7"/>
    <w:multiLevelType w:val="multilevel"/>
    <w:tmpl w:val="528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05386"/>
    <w:multiLevelType w:val="multilevel"/>
    <w:tmpl w:val="F47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E4B9E"/>
    <w:multiLevelType w:val="multilevel"/>
    <w:tmpl w:val="611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95BDB"/>
    <w:multiLevelType w:val="multilevel"/>
    <w:tmpl w:val="683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C590B"/>
    <w:multiLevelType w:val="multilevel"/>
    <w:tmpl w:val="820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44953"/>
    <w:multiLevelType w:val="multilevel"/>
    <w:tmpl w:val="64F6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24428">
    <w:abstractNumId w:val="5"/>
  </w:num>
  <w:num w:numId="2" w16cid:durableId="1207373290">
    <w:abstractNumId w:val="4"/>
  </w:num>
  <w:num w:numId="3" w16cid:durableId="1551041084">
    <w:abstractNumId w:val="0"/>
  </w:num>
  <w:num w:numId="4" w16cid:durableId="371733293">
    <w:abstractNumId w:val="6"/>
  </w:num>
  <w:num w:numId="5" w16cid:durableId="100420329">
    <w:abstractNumId w:val="7"/>
  </w:num>
  <w:num w:numId="6" w16cid:durableId="1730760422">
    <w:abstractNumId w:val="1"/>
  </w:num>
  <w:num w:numId="7" w16cid:durableId="355817391">
    <w:abstractNumId w:val="2"/>
  </w:num>
  <w:num w:numId="8" w16cid:durableId="1402751103">
    <w:abstractNumId w:val="3"/>
  </w:num>
  <w:num w:numId="9" w16cid:durableId="1100831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9F"/>
    <w:rsid w:val="0029399F"/>
    <w:rsid w:val="004F5DC7"/>
    <w:rsid w:val="0062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1950"/>
  <w15:chartTrackingRefBased/>
  <w15:docId w15:val="{6926FC27-A699-423D-9061-65DAECD7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711</Words>
  <Characters>4213</Characters>
  <Application>Microsoft Office Word</Application>
  <DocSecurity>0</DocSecurity>
  <Lines>89</Lines>
  <Paragraphs>44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Sierra García</dc:creator>
  <cp:keywords/>
  <dc:description/>
  <cp:lastModifiedBy>Sergio Sierra García</cp:lastModifiedBy>
  <cp:revision>3</cp:revision>
  <dcterms:created xsi:type="dcterms:W3CDTF">2026-02-16T03:25:00Z</dcterms:created>
  <dcterms:modified xsi:type="dcterms:W3CDTF">2026-02-16T03:32:00Z</dcterms:modified>
</cp:coreProperties>
</file>