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0" w:before="0" w:line="300" w:lineRule="auto"/>
        <w:ind w:left="0" w:firstLine="0"/>
        <w:rPr>
          <w:rFonts w:ascii="Lato" w:cs="Lato" w:eastAsia="Lato" w:hAnsi="Lato"/>
          <w:color w:val="273540"/>
          <w:sz w:val="52"/>
          <w:szCs w:val="52"/>
          <w:highlight w:val="white"/>
        </w:rPr>
      </w:pPr>
      <w:bookmarkStart w:colFirst="0" w:colLast="0" w:name="_gen9zbtijj27" w:id="0"/>
      <w:bookmarkEnd w:id="0"/>
      <w:r w:rsidDel="00000000" w:rsidR="00000000" w:rsidRPr="00000000">
        <w:rPr>
          <w:rFonts w:ascii="Lato" w:cs="Lato" w:eastAsia="Lato" w:hAnsi="Lato"/>
          <w:color w:val="273540"/>
          <w:sz w:val="52"/>
          <w:szCs w:val="52"/>
          <w:highlight w:val="white"/>
          <w:rtl w:val="0"/>
        </w:rPr>
        <w:t xml:space="preserve">Inicio de la Práctica 2</w:t>
      </w:r>
    </w:p>
    <w:p w:rsidR="00000000" w:rsidDel="00000000" w:rsidP="00000000" w:rsidRDefault="00000000" w:rsidRPr="00000000" w14:paraId="00000002">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Hola a todos y a todas,</w:t>
      </w:r>
    </w:p>
    <w:p w:rsidR="00000000" w:rsidDel="00000000" w:rsidP="00000000" w:rsidRDefault="00000000" w:rsidRPr="00000000" w14:paraId="00000003">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En la primera fase de la práctica se han observado propuestas muy diversas en la elección y el análisis inicial de los conjuntos de datos. En términos generales, la mayoría ha mostrado una buena comprensión del objetivo de la actividad, justificando la selección de los datos y realizando una primera aproximación. Muchos de los trabajos parten de temas con interés social, económico, medioambiental o profesional, lo que refuerza la idea de que los datos pueden ayudar a comprender mejor problemas relevantes y apoyar procesos de toma de decisiones.</w:t>
      </w:r>
    </w:p>
    <w:p w:rsidR="00000000" w:rsidDel="00000000" w:rsidP="00000000" w:rsidRDefault="00000000" w:rsidRPr="00000000" w14:paraId="00000004">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No obstante, también se han detectado algunos aspectos que conviene reforzar de cara a la segunda parte. En algunos casos, la documentación del conjunto de datos, la justificación de su relevancia o la conexión entre los datos disponibles y las preguntas de análisis podrían haberse desarrollado con mayor precisión. También hay proyectos que ganarían calidad si si se combinasen con otras fuentes, se creasen nuevas métricas o tuviesen una reflexión más clara sobre las limitaciones del dataset.</w:t>
      </w:r>
    </w:p>
    <w:p w:rsidR="00000000" w:rsidDel="00000000" w:rsidP="00000000" w:rsidRDefault="00000000" w:rsidRPr="00000000" w14:paraId="00000005">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En la segunda parte de la práctica se tiene que dar un paso más: ya no se trata únicamente de seleccionar y analizar un conjunto de datos, sino de convertirlo en una visualización completa, pública, y bien resuelta desde el punto de vista comunicativo. Con este reto os tenéis que acercar al tipo de trabajo que se hace en el mundo profesional, donde una visualización debe ser rigurosa, visualmente clara y útil para distintos tipos de público.</w:t>
      </w:r>
    </w:p>
    <w:p w:rsidR="00000000" w:rsidDel="00000000" w:rsidP="00000000" w:rsidRDefault="00000000" w:rsidRPr="00000000" w14:paraId="00000006">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La visualización de datos no consiste solo en representar cifras, patrones o relaciones. Su objetivo principal es ayudar a comprender algo. Por eso, antes de empezar a diseñar, es importante que tengáis claro qué queréis contar, qué preguntas vais a responder y qué idea principal debería llevarse el usuario cuando explore el proyecto. Una buena visualización no muestra datos sin más: organiza la información, destaca lo relevante y facilita que el usuario llegue a una conclusión.</w:t>
      </w:r>
    </w:p>
    <w:p w:rsidR="00000000" w:rsidDel="00000000" w:rsidP="00000000" w:rsidRDefault="00000000" w:rsidRPr="00000000" w14:paraId="00000007">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Podéis pensar vuestra visualización como una narración. Primero, situad al usuario en el contexto general; después, guiad su atención; y, finalmente, cerrad el recorrido con una conclusión clara o con una reflexión sobre el significado de los resultados. Esta estructura no tiene por qué ser lineal en todos los casos, especialmente si diseñáis una visualización exploratoria, pero sí debe existir una lógica de lectura y navegación.</w:t>
      </w:r>
    </w:p>
    <w:p w:rsidR="00000000" w:rsidDel="00000000" w:rsidP="00000000" w:rsidRDefault="00000000" w:rsidRPr="00000000" w14:paraId="00000008">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En este sentido, las anotaciones narrativas pueden ser muy útiles. Utilizad títulos, subtítulos, etiquetas, llamadas visuales o pequeños textos explicativos para orientar la interpretación. No deis por hecho que el usuario entenderá automáticamente qué está viendo. Las leyendas, las escalas, los textos de apoyo y las etiquetas deben ser claros y suficientes para que la visualización pueda leerse sin esfuerzo.</w:t>
      </w:r>
    </w:p>
    <w:p w:rsidR="00000000" w:rsidDel="00000000" w:rsidP="00000000" w:rsidRDefault="00000000" w:rsidRPr="00000000" w14:paraId="00000009">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También es importante cuidar la jerarquía visual. Como ocurre en un texto bien estructurado, la visualización debe guiar la mirada del usuario. El uso del color, el tamaño, la posición, el contraste y el espacio debe ayudar a diferenciar lo principal de lo secundario. Evitad que todos los elementos compitan por la atención al mismo tiempo.</w:t>
      </w:r>
    </w:p>
    <w:p w:rsidR="00000000" w:rsidDel="00000000" w:rsidP="00000000" w:rsidRDefault="00000000" w:rsidRPr="00000000" w14:paraId="0000000A">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La interacción debe estar al servicio del análisis y de la comunicación. Filtros, menús desplegables, controles, sliders o tooltips pueden enriquecer mucho la experiencia, siempre que tengan una función clara. No se trata de añadir interacción por añadirla, sino de permitir que el usuario explore los datos, compare situaciones, profundice en determinados aspectos o responda preguntas concretas. Un exceso de opciones puede dificultar la lectura y generar confusión.</w:t>
      </w:r>
    </w:p>
    <w:p w:rsidR="00000000" w:rsidDel="00000000" w:rsidP="00000000" w:rsidRDefault="00000000" w:rsidRPr="00000000" w14:paraId="0000000B">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Es importante prestéis atencióna la legibilidad y la accesibilidad. El texto ha de ser cómodo de leer, y si es posible, incluso en las pantallas móviles. En cuanto a las tipografías, buscad la claridad y la coherencia; una o dos fuentes profesionales puede ser suficiente. Lo mismo se aplica a los colores: una paleta funcional y bien elegida es lo ideal. A menudo, unos tonos neutros de fondo con uno o dos de contraste son suficientes para resaltar lo importante sin agobiar el diseño.</w:t>
      </w:r>
    </w:p>
    <w:p w:rsidR="00000000" w:rsidDel="00000000" w:rsidP="00000000" w:rsidRDefault="00000000" w:rsidRPr="00000000" w14:paraId="0000000C">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Tened en cuenta que un buen trabajo visual requiere su espacio. No llenéis la pantalla de iconos, gráficos o controles. El espacio en blanco tiene su utilidad para separar las secciones y dejar que los datos respiren, facilitando la lectura. Al final, la claridad es prioritaria a una acumulación de elementos.</w:t>
      </w:r>
    </w:p>
    <w:p w:rsidR="00000000" w:rsidDel="00000000" w:rsidP="00000000" w:rsidRDefault="00000000" w:rsidRPr="00000000" w14:paraId="0000000D">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En el vídeo es interesante describir cuál ha sido el camino: qué técnica habéis empleado y por qué, cómo habéis puesto en orden los datos, en qué consiste la interacción para el usuario, cuáles han sido las limitaciones del proyecto, qué os han enseñado los datos o qué impacto tendría la visualización en un entorno real.</w:t>
      </w:r>
    </w:p>
    <w:p w:rsidR="00000000" w:rsidDel="00000000" w:rsidP="00000000" w:rsidRDefault="00000000" w:rsidRPr="00000000" w14:paraId="0000000E">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En definitiva, la Práctica 2 es para que demostreis que sabéis unir la intención narrativa con el análisis y la técnica.</w:t>
      </w:r>
    </w:p>
    <w:p w:rsidR="00000000" w:rsidDel="00000000" w:rsidP="00000000" w:rsidRDefault="00000000" w:rsidRPr="00000000" w14:paraId="0000000F">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Saludos y adelante</w:t>
      </w:r>
    </w:p>
    <w:p w:rsidR="00000000" w:rsidDel="00000000" w:rsidP="00000000" w:rsidRDefault="00000000" w:rsidRPr="00000000" w14:paraId="00000010">
      <w:pPr>
        <w:shd w:fill="ffffff" w:val="clear"/>
        <w:spacing w:after="180" w:before="180" w:lineRule="auto"/>
        <w:rPr>
          <w:rFonts w:ascii="Lato" w:cs="Lato" w:eastAsia="Lato" w:hAnsi="Lato"/>
          <w:color w:val="273540"/>
          <w:sz w:val="28"/>
          <w:szCs w:val="28"/>
        </w:rPr>
      </w:pPr>
      <w:r w:rsidDel="00000000" w:rsidR="00000000" w:rsidRPr="00000000">
        <w:rPr>
          <w:rFonts w:ascii="Lato" w:cs="Lato" w:eastAsia="Lato" w:hAnsi="Lato"/>
          <w:color w:val="273540"/>
          <w:sz w:val="28"/>
          <w:szCs w:val="28"/>
          <w:rtl w:val="0"/>
        </w:rPr>
        <w:t xml:space="preserve">José Manuel</w:t>
      </w:r>
    </w:p>
    <w:p w:rsidR="00000000" w:rsidDel="00000000" w:rsidP="00000000" w:rsidRDefault="00000000" w:rsidRPr="00000000" w14:paraId="00000011">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20" w:line="360" w:lineRule="auto"/>
      <w:ind w:left="583.9370078740158" w:hanging="357.1653543307087"/>
    </w:pPr>
    <w:rPr>
      <w:b w:val="1"/>
      <w:bCs w:val="1"/>
      <w:color w:val="2f5496"/>
      <w:sz w:val="32"/>
      <w:szCs w:val="32"/>
    </w:rPr>
  </w:style>
  <w:style w:type="paragraph" w:styleId="Heading2">
    <w:name w:val="heading 2"/>
    <w:basedOn w:val="Normal"/>
    <w:next w:val="Normal"/>
    <w:pPr>
      <w:keepNext w:val="1"/>
      <w:keepLines w:val="1"/>
      <w:spacing w:after="80" w:before="320" w:line="360" w:lineRule="auto"/>
      <w:ind w:left="782.3622047244095" w:hanging="357.1653543307087"/>
    </w:pPr>
    <w:rPr>
      <w:b w:val="1"/>
      <w:bCs w:val="1"/>
      <w:color w:val="2f5496"/>
      <w:sz w:val="28"/>
      <w:szCs w:val="28"/>
    </w:rPr>
  </w:style>
  <w:style w:type="paragraph" w:styleId="Heading3">
    <w:name w:val="heading 3"/>
    <w:basedOn w:val="Normal"/>
    <w:next w:val="Normal"/>
    <w:pPr>
      <w:keepNext w:val="1"/>
      <w:keepLines w:val="1"/>
      <w:spacing w:after="80" w:before="320" w:line="360" w:lineRule="auto"/>
      <w:ind w:left="2160" w:hanging="360"/>
    </w:pPr>
    <w:rPr>
      <w:b w:val="1"/>
      <w:bCs w:val="1"/>
      <w:color w:val="2f5496"/>
      <w:sz w:val="24"/>
      <w:szCs w:val="24"/>
    </w:rPr>
  </w:style>
  <w:style w:type="paragraph" w:styleId="Heading4">
    <w:name w:val="heading 4"/>
    <w:basedOn w:val="Normal"/>
    <w:next w:val="Normal"/>
    <w:pPr>
      <w:keepNext w:val="1"/>
      <w:keepLines w:val="1"/>
      <w:spacing w:line="360" w:lineRule="auto"/>
      <w:ind w:left="1207.5590551181103" w:hanging="357.1653543307086"/>
    </w:pPr>
    <w:rPr>
      <w:b w:val="1"/>
      <w:bCs w:val="1"/>
      <w:color w:val="2f5496"/>
    </w:rPr>
  </w:style>
  <w:style w:type="paragraph" w:styleId="Heading5">
    <w:name w:val="heading 5"/>
    <w:basedOn w:val="Normal"/>
    <w:next w:val="Normal"/>
    <w:pPr>
      <w:keepNext w:val="1"/>
      <w:keepLines w:val="1"/>
      <w:spacing w:after="80" w:before="240" w:lineRule="auto"/>
      <w:ind w:left="1207.5590551181103" w:hanging="357.1653543307086"/>
    </w:pPr>
    <w:rPr>
      <w:b w:val="1"/>
      <w:bCs w:val="1"/>
      <w:color w:val="2f5496"/>
    </w:rPr>
  </w:style>
  <w:style w:type="paragraph" w:styleId="Heading6">
    <w:name w:val="heading 6"/>
    <w:basedOn w:val="Normal"/>
    <w:next w:val="Normal"/>
    <w:pPr>
      <w:keepNext w:val="1"/>
      <w:keepLines w:val="1"/>
      <w:spacing w:after="80" w:before="240" w:lineRule="auto"/>
      <w:ind w:left="1349.2913385826773" w:hanging="357.16535433070874"/>
    </w:pPr>
    <w:rPr>
      <w:b w:val="1"/>
      <w:bCs w:val="1"/>
      <w:color w:val="2f5496"/>
    </w:rPr>
  </w:style>
  <w:style w:type="paragraph" w:styleId="Title">
    <w:name w:val="Title"/>
    <w:basedOn w:val="Normal"/>
    <w:next w:val="Normal"/>
    <w:pPr>
      <w:keepNext w:val="1"/>
      <w:keepLines w:val="1"/>
      <w:spacing w:line="240" w:lineRule="auto"/>
      <w:jc w:val="center"/>
    </w:pPr>
    <w:rPr>
      <w:b w:val="1"/>
      <w:bCs w:val="1"/>
      <w:color w:val="1c4587"/>
      <w:sz w:val="40"/>
      <w:szCs w:val="40"/>
    </w:rPr>
  </w:style>
  <w:style w:type="paragraph" w:styleId="Subtitle">
    <w:name w:val="Subtitle"/>
    <w:basedOn w:val="Normal"/>
    <w:next w:val="Normal"/>
    <w:pPr>
      <w:keepNext w:val="1"/>
      <w:keepLines w:val="1"/>
      <w:spacing w:line="240" w:lineRule="auto"/>
      <w:jc w:val="center"/>
    </w:pPr>
    <w:rPr>
      <w:b w:val="1"/>
      <w:bCs w:val="1"/>
      <w:color w:val="1c4587"/>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