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Visualización de los estándares de crecimiento</w:t>
        <w:br/>
        <w:t>y el involucramiento paterno en la primera</w:t>
        <w:br/>
        <w:t>infancia: Integración de estándares OMS y</w:t>
        <w:br/>
        <w:t>microdatos MICS6</w:t>
      </w:r>
    </w:p>
    <w:p>
      <w:pPr>
        <w:jc w:val="center"/>
      </w:pPr>
      <w:r>
        <w:rPr>
          <w:sz w:val="22"/>
        </w:rPr>
        <w:t>Estudiante: Sebastián Serrentino Mangino</w:t>
        <w:br/>
        <w:t>Asignatura: Visualización de Datos</w:t>
        <w:br/>
        <w:t>Máster en Ciencia de Datos - UOC</w:t>
      </w:r>
    </w:p>
    <w:p>
      <w:pPr>
        <w:pStyle w:val="Heading1"/>
      </w:pPr>
      <w:r>
        <w:rPr>
          <w:color w:val="1F4E79"/>
        </w:rPr>
        <w:t>Justificación y Motivación</w:t>
      </w:r>
    </w:p>
    <w:p>
      <w:r>
        <w:t>La elección de este proyecto nace de una motivación personal de carácter intrínseco: mi reciente paternidad. Este hito ha despertado en mí un interés académico por comprender los estándares de bienestar|desarrollo en los primeros 1.000 días de vida de un recién nacido. Profesionalmente, busco aplicar herramientas de ciencia de datos a un ámbito con alta carga emocional, de forma de garantizar un análisis minucioso que aporte una mirada distinta sobre la crianza.</w:t>
      </w:r>
    </w:p>
    <w:tbl>
      <w:tblPr>
        <w:tblW w:type="auto" w:w="0"/>
        <w:jc w:val="left"/>
        <w:tblLayout w:type="autofit"/>
        <w:tblLook w:firstColumn="1" w:firstRow="1" w:lastColumn="0" w:lastRow="0" w:noHBand="0" w:noVBand="1" w:val="04A0"/>
      </w:tblPr>
      <w:tblGrid>
        <w:gridCol w:w="9792"/>
      </w:tblGrid>
      <w:tr>
        <w:tc>
          <w:tcPr>
            <w:tcW w:type="dxa" w:w="9792"/>
            <w:vAlign w:val="center"/>
            <w:shd w:fill="FFF2CC"/>
            <w:tcBorders>
              <w:top w:sz="6" w:val="single" w:color="D6B656" w:space="0"/>
              <w:left w:sz="6" w:val="single" w:color="D6B656" w:space="0"/>
              <w:bottom w:sz="6" w:val="single" w:color="D6B656" w:space="0"/>
              <w:right w:sz="6" w:val="single" w:color="D6B656" w:space="0"/>
            </w:tcBorders>
          </w:tcPr>
          <w:p>
            <w:pPr>
              <w:spacing w:after="0" w:before="0"/>
            </w:pPr>
            <w:r>
              <w:rPr>
                <w:b/>
                <w:color w:val="9C6500"/>
                <w:sz w:val="20"/>
              </w:rPr>
              <w:t xml:space="preserve">Observacion del Docente: </w:t>
            </w:r>
            <w:r>
              <w:rPr>
                <w:color w:val="5C4000"/>
                <w:sz w:val="20"/>
              </w:rPr>
              <w:t>La motivación personal está bien conectada con una finalidad académica y analítica. El proyecto queda situado en un ámbito con impacto social claro y con potencial para una narrativa de datos comprensible.</w:t>
            </w:r>
          </w:p>
        </w:tc>
      </w:tr>
    </w:tbl>
    <w:p/>
    <w:p>
      <w:pPr>
        <w:pStyle w:val="Heading1"/>
      </w:pPr>
      <w:r>
        <w:rPr>
          <w:color w:val="1F4E79"/>
        </w:rPr>
        <w:t>Calidad, Origen y Licencia</w:t>
      </w:r>
    </w:p>
    <w:p>
      <w:r>
        <w:t>Trabajaré con la Encuesta Nacional de Niños, Niñas y Adolescentes (MICS6¹) de Argentina (2019-2020).</w:t>
      </w:r>
    </w:p>
    <w:p>
      <w:pPr>
        <w:pStyle w:val="ListBullet"/>
      </w:pPr>
      <w:r>
        <w:t>Origen: Fuente oficial solvente producida por Fondo de las Naciones Unidas para la Infancia (UNICEF)² y el Consejo Nacional de Coordinación de Políticas Sociales (Estado Argentino)³.</w:t>
      </w:r>
    </w:p>
    <w:p>
      <w:pPr>
        <w:pStyle w:val="ListBullet"/>
      </w:pPr>
      <w:r>
        <w:t>Actualización: Datos publicados en 2020, lo que garantiza relevancia actual.</w:t>
      </w:r>
    </w:p>
    <w:p>
      <w:pPr>
        <w:pStyle w:val="ListBullet"/>
      </w:pPr>
      <w:r>
        <w:t>Licencia: Uso abierto para fines académicos y de investigación.</w:t>
      </w:r>
    </w:p>
    <w:p>
      <w:pPr>
        <w:pStyle w:val="ListBullet"/>
      </w:pPr>
      <w:r>
        <w:t>Fuente: https://mics.unicef.org/surveys?display=card&amp;f[0]=region:2541#</w:t>
      </w:r>
    </w:p>
    <w:tbl>
      <w:tblPr>
        <w:tblW w:type="auto" w:w="0"/>
        <w:jc w:val="left"/>
        <w:tblLayout w:type="autofit"/>
        <w:tblLook w:firstColumn="1" w:firstRow="1" w:lastColumn="0" w:lastRow="0" w:noHBand="0" w:noVBand="1" w:val="04A0"/>
      </w:tblPr>
      <w:tblGrid>
        <w:gridCol w:w="9792"/>
      </w:tblGrid>
      <w:tr>
        <w:tc>
          <w:tcPr>
            <w:tcW w:type="dxa" w:w="9792"/>
            <w:vAlign w:val="center"/>
            <w:shd w:fill="FFF2CC"/>
            <w:tcBorders>
              <w:top w:sz="6" w:val="single" w:color="D6B656" w:space="0"/>
              <w:left w:sz="6" w:val="single" w:color="D6B656" w:space="0"/>
              <w:bottom w:sz="6" w:val="single" w:color="D6B656" w:space="0"/>
              <w:right w:sz="6" w:val="single" w:color="D6B656" w:space="0"/>
            </w:tcBorders>
          </w:tcPr>
          <w:p>
            <w:pPr>
              <w:spacing w:after="0" w:before="0"/>
            </w:pPr>
            <w:r>
              <w:rPr>
                <w:b/>
                <w:color w:val="9C6500"/>
                <w:sz w:val="20"/>
              </w:rPr>
              <w:t xml:space="preserve">Observacion del Docente: </w:t>
            </w:r>
            <w:r>
              <w:rPr>
                <w:color w:val="5C4000"/>
                <w:sz w:val="20"/>
              </w:rPr>
              <w:t>La fuente está bien identificada y procede de organismos solventes. Para completar la relevancia, puedes explicar con más precisión qué colectivos o instituciones podrían beneficiarse de la visualización: salud pública, primera infancia, corresponsabilidad o políticas familiares.</w:t>
            </w:r>
          </w:p>
        </w:tc>
      </w:tr>
    </w:tbl>
    <w:p/>
    <w:p>
      <w:pPr>
        <w:pStyle w:val="Heading1"/>
      </w:pPr>
      <w:r>
        <w:rPr>
          <w:color w:val="1F4E79"/>
        </w:rPr>
        <w:t>Viabilidad y Escalabilidad</w:t>
      </w:r>
    </w:p>
    <w:p>
      <w:r>
        <w:t>El conjunto de datos ofrece un equilibrio óptimo para el tiempo disponible:</w:t>
      </w:r>
    </w:p>
    <w:p>
      <w:pPr>
        <w:pStyle w:val="ListBullet"/>
      </w:pPr>
      <w:r>
        <w:t>Volumen: El módulo de "Niños menores de 5 años" cuenta con 8.125 registros, lo suficientemente amplio para un trabajo rico pero manejable con herramientas como Python (Pandas) o R.</w:t>
      </w:r>
    </w:p>
    <w:p>
      <w:pPr>
        <w:pStyle w:val="ListBullet"/>
      </w:pPr>
      <w:r>
        <w:t>Dimensionalidad: Más de 35 variables que permiten realizar múltiples filtros, comparaciones e interacciones en la fase de visualización.</w:t>
      </w:r>
    </w:p>
    <w:p>
      <w:r>
        <w:t>La unidad de análisis está constituida por el niño/a menor de 5 años, donde cada registro representa un caso individual con sus respectivos atributos biométricos y de entorno, permitiendo la granularidad necesaria para el cálculo de microdatos de salud.</w:t>
      </w:r>
    </w:p>
    <w:tbl>
      <w:tblPr>
        <w:tblW w:type="auto" w:w="0"/>
        <w:jc w:val="left"/>
        <w:tblLayout w:type="autofit"/>
        <w:tblLook w:firstColumn="1" w:firstRow="1" w:lastColumn="0" w:lastRow="0" w:noHBand="0" w:noVBand="1" w:val="04A0"/>
      </w:tblPr>
      <w:tblGrid>
        <w:gridCol w:w="9792"/>
      </w:tblGrid>
      <w:tr>
        <w:tc>
          <w:tcPr>
            <w:tcW w:type="dxa" w:w="9792"/>
            <w:vAlign w:val="center"/>
            <w:shd w:fill="FFF2CC"/>
            <w:tcBorders>
              <w:top w:sz="6" w:val="single" w:color="D6B656" w:space="0"/>
              <w:left w:sz="6" w:val="single" w:color="D6B656" w:space="0"/>
              <w:bottom w:sz="6" w:val="single" w:color="D6B656" w:space="0"/>
              <w:right w:sz="6" w:val="single" w:color="D6B656" w:space="0"/>
            </w:tcBorders>
          </w:tcPr>
          <w:p>
            <w:pPr>
              <w:spacing w:after="0" w:before="0"/>
            </w:pPr>
            <w:r>
              <w:rPr>
                <w:b/>
                <w:color w:val="9C6500"/>
                <w:sz w:val="20"/>
              </w:rPr>
              <w:t xml:space="preserve">Observacion del Docente: </w:t>
            </w:r>
            <w:r>
              <w:rPr>
                <w:color w:val="5C4000"/>
                <w:sz w:val="20"/>
              </w:rPr>
              <w:t>El volumen y la dimensionalidad son adecuados para la práctica. La unidad de análisis también queda bien definida, lo que facilita diseñar visualizaciones con sentido estadístico y evitar confusiones entre hogar, niño y cuidador.</w:t>
            </w:r>
          </w:p>
        </w:tc>
      </w:tr>
    </w:tbl>
    <w:p/>
    <w:p>
      <w:pPr>
        <w:pStyle w:val="Heading1"/>
      </w:pPr>
      <w:r>
        <w:rPr>
          <w:color w:val="1F4E79"/>
        </w:rPr>
        <w:t>Datos Complementarios y Enfoque Original</w:t>
      </w:r>
    </w:p>
    <w:p>
      <w:r>
        <w:t>Para aportar un valor diferencial, realizaré un cruce de fuentes:</w:t>
      </w:r>
    </w:p>
    <w:p>
      <w:pPr>
        <w:pStyle w:val="ListNumber"/>
      </w:pPr>
      <w:r>
        <w:t>Enriquecimiento: Integrare los Estándares de Crecimiento de la Organización Mundial de la Salud (OMS). Archivos .csv externos para validar y recalcular los Z-scores de peso y talla.</w:t>
      </w:r>
    </w:p>
    <w:p>
      <w:pPr>
        <w:pStyle w:val="ListNumber"/>
      </w:pPr>
      <w:r>
        <w:t>Nueva Métrica: Generare el "Índice de Involucramiento Paterno (IIP)", transformando variables de estimulación temprana para aislar la participación del padre y analizar la brecha de corresponsabilidad.</w:t>
      </w:r>
    </w:p>
    <w:p>
      <w:pPr>
        <w:pStyle w:val="ListBullet2"/>
      </w:pPr>
      <w:r>
        <w:t>Calculare como una variable discreta normalizada, derivada de la agregación de las variables binarias de estimulación (lectura, juego, canto) donde el cuidador principal sea identificado con el código correspondiente al padre en el registro de la encuesta.</w:t>
      </w:r>
    </w:p>
    <w:p>
      <w:pPr>
        <w:pStyle w:val="ListNumber"/>
      </w:pPr>
      <w:r>
        <w:t>Fuente (requiere registro previo):</w:t>
      </w:r>
    </w:p>
    <w:p>
      <w:pPr>
        <w:pStyle w:val="ListBullet2"/>
      </w:pPr>
      <w:r>
        <w:t>Boys table- Weight-for-age: Birth to 5 years (z-scores): https://cdn.who.int/media/docs/default-source/child-growth/child-growth-standards/indicators/weight-for-age/wfa_girls_0-to-5-years_zscores.xlsx?sfvrsn=4c03b8db_7</w:t>
      </w:r>
    </w:p>
    <w:p>
      <w:pPr>
        <w:pStyle w:val="ListBullet2"/>
      </w:pPr>
      <w:r>
        <w:t>Girls table- Weight-for-age: Birth to 5 years (z-scores): https://cdn.who.int/media/docs/default-source/child-growth/child-growth-standards/indicators/weight-for-age/wfa_boys_0-to-5-years_zscores.xlsx?sfvrsn=97a05331_9</w:t>
      </w:r>
    </w:p>
    <w:p>
      <w:pPr>
        <w:pStyle w:val="ListNumber"/>
      </w:pPr>
      <w:r>
        <w:t>Licencia: Los datos complementarios de la OMS se rigen por una licencia de uso abierto para fines de investigación y salud pública (no comercial), la cual permite la descarga y procesamiento de las tablas de referencia siempre que se mantenga la integridad de los estándares y se cite la fuente original.</w:t>
      </w:r>
    </w:p>
    <w:tbl>
      <w:tblPr>
        <w:tblW w:type="auto" w:w="0"/>
        <w:jc w:val="left"/>
        <w:tblLayout w:type="autofit"/>
        <w:tblLook w:firstColumn="1" w:firstRow="1" w:lastColumn="0" w:lastRow="0" w:noHBand="0" w:noVBand="1" w:val="04A0"/>
      </w:tblPr>
      <w:tblGrid>
        <w:gridCol w:w="9792"/>
      </w:tblGrid>
      <w:tr>
        <w:tc>
          <w:tcPr>
            <w:tcW w:type="dxa" w:w="9792"/>
            <w:vAlign w:val="center"/>
            <w:shd w:fill="FFF2CC"/>
            <w:tcBorders>
              <w:top w:sz="6" w:val="single" w:color="D6B656" w:space="0"/>
              <w:left w:sz="6" w:val="single" w:color="D6B656" w:space="0"/>
              <w:bottom w:sz="6" w:val="single" w:color="D6B656" w:space="0"/>
              <w:right w:sz="6" w:val="single" w:color="D6B656" w:space="0"/>
            </w:tcBorders>
          </w:tcPr>
          <w:p>
            <w:pPr>
              <w:spacing w:after="0" w:before="0"/>
            </w:pPr>
            <w:r>
              <w:rPr>
                <w:b/>
                <w:color w:val="9C6500"/>
                <w:sz w:val="20"/>
              </w:rPr>
              <w:t xml:space="preserve">Observacion del Docente: </w:t>
            </w:r>
            <w:r>
              <w:rPr>
                <w:color w:val="5C4000"/>
                <w:sz w:val="20"/>
              </w:rPr>
              <w:t>El cruce con estándares OMS y la creación del índice IIP aportan un valor diferencial claro. Para reforzar la validez, conviene anticipar cómo controlarás edad, sexo y quintil de riqueza al comparar indicadores de crecimiento e involucramiento.</w:t>
            </w:r>
          </w:p>
        </w:tc>
      </w:tr>
    </w:tbl>
    <w:p/>
    <w:p>
      <w:pPr>
        <w:pStyle w:val="Heading1"/>
      </w:pPr>
      <w:r>
        <w:rPr>
          <w:color w:val="1F4E79"/>
        </w:rPr>
        <w:t>Análisis de Sesgos y Limitaciones</w:t>
      </w:r>
    </w:p>
    <w:p>
      <w:r>
        <w:t>Siguiendo una práctica de rigor, he identificado las siguientes limitaciones:</w:t>
      </w:r>
    </w:p>
    <w:p>
      <w:pPr>
        <w:pStyle w:val="ListBullet"/>
      </w:pPr>
      <w:r>
        <w:t>Representatividad: Revisare si ciertas regiones rurales tienen menor densidad de datos.</w:t>
      </w:r>
    </w:p>
    <w:p>
      <w:pPr>
        <w:pStyle w:val="ListBullet"/>
      </w:pPr>
      <w:r>
        <w:t>Variables incompletas: Gestionaré los valores nulos (NA) y los códigos especiales de inconsistencia o no-respuesta definidos por UNICEF durante la fase de limpieza para evitar sesgos en las conclusiones de salud y nutrición.</w:t>
      </w:r>
    </w:p>
    <w:p>
      <w:pPr>
        <w:pStyle w:val="ListBullet"/>
      </w:pPr>
      <w:r>
        <w:t>Falta de respuesta (Missing Data): Evaluare durante la fase de preparación si la atrición o ausencia de registros en variables sensibles (como ingresos o participación paterna) presenta sesgos que puedan distorsionar la representación de la realidad de los colectivos analizados.</w:t>
      </w:r>
    </w:p>
    <w:tbl>
      <w:tblPr>
        <w:tblW w:type="auto" w:w="0"/>
        <w:jc w:val="left"/>
        <w:tblLayout w:type="autofit"/>
        <w:tblLook w:firstColumn="1" w:firstRow="1" w:lastColumn="0" w:lastRow="0" w:noHBand="0" w:noVBand="1" w:val="04A0"/>
      </w:tblPr>
      <w:tblGrid>
        <w:gridCol w:w="9792"/>
      </w:tblGrid>
      <w:tr>
        <w:tc>
          <w:tcPr>
            <w:tcW w:type="dxa" w:w="9792"/>
            <w:vAlign w:val="center"/>
            <w:shd w:fill="FFF2CC"/>
            <w:tcBorders>
              <w:top w:sz="6" w:val="single" w:color="D6B656" w:space="0"/>
              <w:left w:sz="6" w:val="single" w:color="D6B656" w:space="0"/>
              <w:bottom w:sz="6" w:val="single" w:color="D6B656" w:space="0"/>
              <w:right w:sz="6" w:val="single" w:color="D6B656" w:space="0"/>
            </w:tcBorders>
          </w:tcPr>
          <w:p>
            <w:pPr>
              <w:spacing w:after="0" w:before="0"/>
            </w:pPr>
            <w:r>
              <w:rPr>
                <w:b/>
                <w:color w:val="9C6500"/>
                <w:sz w:val="20"/>
              </w:rPr>
              <w:t xml:space="preserve">Observacion del Docente: </w:t>
            </w:r>
            <w:r>
              <w:rPr>
                <w:color w:val="5C4000"/>
                <w:sz w:val="20"/>
              </w:rPr>
              <w:t>Identificas limitaciones relevantes y esto mejora la calidad metodológica. En la siguiente fase, convendría convertir estas limitaciones en decisiones concretas de limpieza, filtrado o visualización de incertidumbre.</w:t>
            </w:r>
          </w:p>
        </w:tc>
      </w:tr>
    </w:tbl>
    <w:p/>
    <w:p>
      <w:pPr>
        <w:pStyle w:val="Heading1"/>
      </w:pPr>
      <w:r>
        <w:rPr>
          <w:color w:val="1F4E79"/>
        </w:rPr>
        <w:t>Preguntas de Investigación e Historias</w:t>
      </w:r>
    </w:p>
    <w:p>
      <w:r>
        <w:t>El proyecto busca transformar datos en conocimiento siguiendo la jerarquía DIKW⁴ (Datos brutos, Información estructurada, Conocimiento derivado y Sabiduría para la toma de decisiones en políticas de infancia).</w:t>
      </w:r>
    </w:p>
    <w:p>
      <w:pPr>
        <w:pStyle w:val="ListBullet"/>
      </w:pPr>
      <w:r>
        <w:t>Preguntas clave:</w:t>
      </w:r>
    </w:p>
    <w:p>
      <w:pPr>
        <w:pStyle w:val="ListBullet2"/>
      </w:pPr>
      <w:r>
        <w:t>¿Cómo se correlaciona el nivel socioeconómico con la desviación del estándar de crecimiento durante los primeros 24 meses?</w:t>
      </w:r>
    </w:p>
    <w:p>
      <w:pPr>
        <w:pStyle w:val="ListBullet2"/>
      </w:pPr>
      <w:r>
        <w:t>¿Existen patrones geográficos (Norte-Sur) en el acceso a materiales de aprendizaje como libros infantiles?</w:t>
      </w:r>
    </w:p>
    <w:p>
      <w:pPr>
        <w:pStyle w:val="ListBullet2"/>
      </w:pPr>
      <w:r>
        <w:t>¿Es el nivel educativo de la madre un predictor de la participación activa del padre en el juego y la lectura?</w:t>
      </w:r>
    </w:p>
    <w:p>
      <w:pPr>
        <w:pStyle w:val="Heading1"/>
      </w:pPr>
      <w:r>
        <w:rPr>
          <w:color w:val="1F4E79"/>
        </w:rPr>
        <w:t>Diccionario de Variables (Hechos y Dimensiones)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666666"/>
          </w:tcPr>
          <w:p>
            <w:pPr>
              <w:jc w:val="center"/>
            </w:pPr>
            <w:r>
              <w:rPr>
                <w:b/>
                <w:color w:val="FFFFFF"/>
                <w:sz w:val="18"/>
              </w:rPr>
              <w:t>Variable</w:t>
            </w:r>
          </w:p>
        </w:tc>
        <w:tc>
          <w:tcPr>
            <w:tcW w:type="dxa" w:w="3264"/>
            <w:shd w:fill="666666"/>
          </w:tcPr>
          <w:p>
            <w:pPr>
              <w:jc w:val="center"/>
            </w:pPr>
            <w:r>
              <w:rPr>
                <w:b/>
                <w:color w:val="FFFFFF"/>
                <w:sz w:val="18"/>
              </w:rPr>
              <w:t>Descripción Técnica</w:t>
            </w:r>
          </w:p>
        </w:tc>
        <w:tc>
          <w:tcPr>
            <w:tcW w:type="dxa" w:w="3264"/>
            <w:shd w:fill="666666"/>
          </w:tcPr>
          <w:p>
            <w:pPr>
              <w:jc w:val="center"/>
            </w:pPr>
            <w:r>
              <w:rPr>
                <w:b/>
                <w:color w:val="FFFFFF"/>
                <w:sz w:val="18"/>
              </w:rPr>
              <w:t>Rol (Hecho/Dimensión)</w:t>
            </w:r>
          </w:p>
        </w:tc>
      </w:tr>
      <w:tr>
        <w:tc>
          <w:tcPr>
            <w:tcW w:type="dxa" w:w="3264"/>
          </w:tcPr>
          <w:p>
            <w:r>
              <w:rPr>
                <w:b/>
                <w:i/>
                <w:sz w:val="18"/>
              </w:rPr>
              <w:t>WAZ⁵</w:t>
            </w:r>
          </w:p>
        </w:tc>
        <w:tc>
          <w:tcPr>
            <w:tcW w:type="dxa" w:w="3264"/>
          </w:tcPr>
          <w:p>
            <w:r>
              <w:rPr>
                <w:sz w:val="18"/>
              </w:rPr>
              <w:t>Peso para la edad (Z-score). Mide el estado nutricional.</w:t>
              <w:br/>
              <w:t>Mide a cuántas desviaciones estándar se encuentra el niño respecto a la mediana global de la OMS</w:t>
            </w:r>
          </w:p>
        </w:tc>
        <w:tc>
          <w:tcPr>
            <w:tcW w:type="dxa" w:w="3264"/>
          </w:tcPr>
          <w:p>
            <w:r>
              <w:rPr>
                <w:sz w:val="18"/>
              </w:rPr>
              <w:t>Hecho (Métrica continua)</w:t>
            </w:r>
          </w:p>
        </w:tc>
      </w:tr>
      <w:tr>
        <w:tc>
          <w:tcPr>
            <w:tcW w:type="dxa" w:w="3264"/>
          </w:tcPr>
          <w:p>
            <w:r>
              <w:rPr>
                <w:b/>
                <w:i/>
                <w:sz w:val="18"/>
              </w:rPr>
              <w:t>Score_Estimulacion</w:t>
            </w:r>
          </w:p>
        </w:tc>
        <w:tc>
          <w:tcPr>
            <w:tcW w:type="dxa" w:w="3264"/>
          </w:tcPr>
          <w:p>
            <w:r>
              <w:rPr>
                <w:sz w:val="18"/>
              </w:rPr>
              <w:t>Suma de actividades de calidad realizadas con adultos.</w:t>
            </w:r>
          </w:p>
        </w:tc>
        <w:tc>
          <w:tcPr>
            <w:tcW w:type="dxa" w:w="3264"/>
          </w:tcPr>
          <w:p>
            <w:r>
              <w:rPr>
                <w:sz w:val="18"/>
              </w:rPr>
              <w:t>Hecho (Métrica discreta)</w:t>
            </w:r>
          </w:p>
        </w:tc>
      </w:tr>
      <w:tr>
        <w:tc>
          <w:tcPr>
            <w:tcW w:type="dxa" w:w="3264"/>
          </w:tcPr>
          <w:p>
            <w:r>
              <w:rPr>
                <w:b/>
                <w:i/>
                <w:sz w:val="18"/>
              </w:rPr>
              <w:t>Quintil_Riqueza</w:t>
            </w:r>
          </w:p>
        </w:tc>
        <w:tc>
          <w:tcPr>
            <w:tcW w:type="dxa" w:w="3264"/>
          </w:tcPr>
          <w:p>
            <w:r>
              <w:rPr>
                <w:sz w:val="18"/>
              </w:rPr>
              <w:t>Nivel socioeconómico del hogar (1 al 5).</w:t>
            </w:r>
          </w:p>
        </w:tc>
        <w:tc>
          <w:tcPr>
            <w:tcW w:type="dxa" w:w="3264"/>
          </w:tcPr>
          <w:p>
            <w:r>
              <w:rPr>
                <w:sz w:val="18"/>
              </w:rPr>
              <w:t>Dimensión (Segmentación)</w:t>
            </w:r>
          </w:p>
        </w:tc>
      </w:tr>
      <w:tr>
        <w:tc>
          <w:tcPr>
            <w:tcW w:type="dxa" w:w="3264"/>
          </w:tcPr>
          <w:p>
            <w:r>
              <w:rPr>
                <w:b/>
                <w:i/>
                <w:sz w:val="18"/>
              </w:rPr>
              <w:t>Region_AR</w:t>
            </w:r>
          </w:p>
        </w:tc>
        <w:tc>
          <w:tcPr>
            <w:tcW w:type="dxa" w:w="3264"/>
          </w:tcPr>
          <w:p>
            <w:r>
              <w:rPr>
                <w:sz w:val="18"/>
              </w:rPr>
              <w:t>Ubicación geográfica en Argentina.</w:t>
            </w:r>
          </w:p>
        </w:tc>
        <w:tc>
          <w:tcPr>
            <w:tcW w:type="dxa" w:w="3264"/>
          </w:tcPr>
          <w:p>
            <w:r>
              <w:rPr>
                <w:sz w:val="18"/>
              </w:rPr>
              <w:t>Dimensión (Segmentación)</w:t>
            </w:r>
          </w:p>
        </w:tc>
      </w:tr>
      <w:tr>
        <w:tc>
          <w:tcPr>
            <w:tcW w:type="dxa" w:w="3264"/>
          </w:tcPr>
          <w:p>
            <w:r>
              <w:rPr>
                <w:b/>
                <w:i/>
                <w:sz w:val="18"/>
              </w:rPr>
              <w:t>Nivel_Ed_Materno</w:t>
            </w:r>
          </w:p>
        </w:tc>
        <w:tc>
          <w:tcPr>
            <w:tcW w:type="dxa" w:w="3264"/>
          </w:tcPr>
          <w:p>
            <w:r>
              <w:rPr>
                <w:sz w:val="18"/>
              </w:rPr>
              <w:t>Máximo grado académico de la madre/cuidadora.</w:t>
            </w:r>
          </w:p>
        </w:tc>
        <w:tc>
          <w:tcPr>
            <w:tcW w:type="dxa" w:w="3264"/>
          </w:tcPr>
          <w:p>
            <w:r>
              <w:rPr>
                <w:sz w:val="18"/>
              </w:rPr>
              <w:t>Dimensión (Segmentación)</w:t>
            </w:r>
          </w:p>
        </w:tc>
      </w:tr>
    </w:tbl>
    <w:tbl>
      <w:tblPr>
        <w:tblW w:type="auto" w:w="0"/>
        <w:jc w:val="left"/>
        <w:tblLayout w:type="autofit"/>
        <w:tblLook w:firstColumn="1" w:firstRow="1" w:lastColumn="0" w:lastRow="0" w:noHBand="0" w:noVBand="1" w:val="04A0"/>
      </w:tblPr>
      <w:tblGrid>
        <w:gridCol w:w="9792"/>
      </w:tblGrid>
      <w:tr>
        <w:tc>
          <w:tcPr>
            <w:tcW w:type="dxa" w:w="9792"/>
            <w:vAlign w:val="center"/>
            <w:shd w:fill="FFF2CC"/>
            <w:tcBorders>
              <w:top w:sz="6" w:val="single" w:color="D6B656" w:space="0"/>
              <w:left w:sz="6" w:val="single" w:color="D6B656" w:space="0"/>
              <w:bottom w:sz="6" w:val="single" w:color="D6B656" w:space="0"/>
              <w:right w:sz="6" w:val="single" w:color="D6B656" w:space="0"/>
            </w:tcBorders>
          </w:tcPr>
          <w:p>
            <w:pPr>
              <w:spacing w:after="0" w:before="0"/>
            </w:pPr>
            <w:r>
              <w:rPr>
                <w:b/>
                <w:color w:val="9C6500"/>
                <w:sz w:val="20"/>
              </w:rPr>
              <w:t xml:space="preserve">Observacion del Docente: </w:t>
            </w:r>
            <w:r>
              <w:rPr>
                <w:color w:val="5C4000"/>
                <w:sz w:val="20"/>
              </w:rPr>
              <w:t>El diccionario identifica variables clave, pero queda algo breve respecto al alcance real del proyecto. Puedes ampliarlo con variables de sexo, edad en meses, peso, región, hogar, cuidador, materiales de aprendizaje y claves de unión para que la estructura del análisis quede más completa.</w:t>
            </w:r>
          </w:p>
        </w:tc>
      </w:tr>
    </w:tbl>
    <w:p/>
    <w:p>
      <w:r>
        <w:t>Centraré el análisis en el módulo ch.sav (Children under five), el cual se vinculará relacionalmente con el módulo hh.sav (Households) mediante las variables clave HH1 (Cluster number) y HH2 (Household number) para integrar el nivel socioeconómico. Estas últimas actúan como claves primarias compuestas. Su uso es imperativo para garantizar la integridad referencial al realizar el merge entre el módulo de niños (ch.sav) y el de hogares (hh.sav), asegurando que cada registro biométrico se asocie correctamente con su contexto socioeconómico (quintil de riqueza).</w:t>
      </w:r>
    </w:p>
    <w:p>
      <w:r>
        <w:t>Dado que los estándares de la OMS se muestran segmentados por sexo (wfa_boys y wfa_girls), se realizará una transformación previa de los datos para unificar las tablas de referencia mediante una variable dicotómica (ej. 0 = Niña, 1 = Niño), permitiendo un cruce automatizado.</w:t>
      </w:r>
    </w:p>
    <w:p>
      <w:pPr>
        <w:pStyle w:val="Heading1"/>
      </w:pPr>
      <w:r>
        <w:rPr>
          <w:color w:val="1F4E79"/>
        </w:rPr>
        <w:t>Declaración de Uso de IA</w:t>
      </w:r>
    </w:p>
    <w:p>
      <w:r>
        <w:t>De acuerdo con las directrices de integridad académica de la UOC y el planteamiento de la asignatura, se declara un uso restringido de herramientas de IA generativa bajo los siguientes términos:</w:t>
      </w:r>
    </w:p>
    <w:p>
      <w:r>
        <w:t>Herramienta utilizada: Gemini (Tier Pro).</w:t>
      </w:r>
    </w:p>
    <w:p>
      <w:r>
        <w:t>Objetivo y alcance: La herramienta se empleó exclusivamente en la fase inicial de esbozo de ideas y contextualización de conceptos técnicos. Su uso se limitó a la exploración de posibles estructuras para el diccionario de variables y la identificación de terminología técnica estándar (como la jerarquía DIKW).</w:t>
      </w:r>
    </w:p>
    <w:p>
      <w:r>
        <w:t>Prompts empleados:</w:t>
      </w:r>
    </w:p>
    <w:p>
      <w:pPr>
        <w:pStyle w:val="ListBullet"/>
      </w:pPr>
      <w:r>
        <w:t>"¿Cómo se diferencia un 'hecho' de una 'dimensión' en un diccionario de variables para la visualización de datos?"</w:t>
      </w:r>
    </w:p>
    <w:p>
      <w:pPr>
        <w:pStyle w:val="ListBullet"/>
      </w:pPr>
      <w:r>
        <w:t>"Enumera fuentes oficiales de microdatos de salud infantil en Latinoamérica que incluyan más de 5,000 registros".</w:t>
      </w:r>
    </w:p>
    <w:p>
      <w:r>
        <w:t>Respuesta obtenida y proceso de edición: La IA proporcionó una lista general de fuentes y definiciones teóricas. El estudiante realizó la selección final del dataset de Argentina MICS6 de forma autónoma, validando personalmente la disponibilidad y veracidad de los microdatos en el repositorio oficial de UNICEF. Asimismo, el diccionario de variables y las preguntas de investigación fueron redactados íntegramente por el estudiante para asegurar su coherencia con el archivo ch.sav y el contexto regional analizado.</w:t>
      </w:r>
    </w:p>
    <w:tbl>
      <w:tblPr>
        <w:tblW w:type="auto" w:w="0"/>
        <w:jc w:val="left"/>
        <w:tblLayout w:type="autofit"/>
        <w:tblLook w:firstColumn="1" w:firstRow="1" w:lastColumn="0" w:lastRow="0" w:noHBand="0" w:noVBand="1" w:val="04A0"/>
      </w:tblPr>
      <w:tblGrid>
        <w:gridCol w:w="9792"/>
      </w:tblGrid>
      <w:tr>
        <w:tc>
          <w:tcPr>
            <w:tcW w:type="dxa" w:w="9792"/>
            <w:vAlign w:val="center"/>
            <w:shd w:fill="FFF2CC"/>
            <w:tcBorders>
              <w:top w:sz="6" w:val="single" w:color="D6B656" w:space="0"/>
              <w:left w:sz="6" w:val="single" w:color="D6B656" w:space="0"/>
              <w:bottom w:sz="6" w:val="single" w:color="D6B656" w:space="0"/>
              <w:right w:sz="6" w:val="single" w:color="D6B656" w:space="0"/>
            </w:tcBorders>
          </w:tcPr>
          <w:p>
            <w:pPr>
              <w:spacing w:after="0" w:before="0"/>
            </w:pPr>
            <w:r>
              <w:rPr>
                <w:b/>
                <w:color w:val="9C6500"/>
                <w:sz w:val="20"/>
              </w:rPr>
              <w:t xml:space="preserve">Observacion del Docente: </w:t>
            </w:r>
            <w:r>
              <w:rPr>
                <w:color w:val="5C4000"/>
                <w:sz w:val="20"/>
              </w:rPr>
              <w:t>Presentas una propuesta original, socialmente relevante y con buen planteamiento de enriquecimiento. La mejora principal está en ampliar el diccionario y concretar las decisiones de tratamiento de sesgos y datos faltantes.</w:t>
            </w:r>
          </w:p>
        </w:tc>
      </w:tr>
    </w:tbl>
    <w:p/>
    <w:p>
      <w:pPr>
        <w:pStyle w:val="Heading1"/>
      </w:pPr>
      <w:r>
        <w:rPr>
          <w:color w:val="1F4E79"/>
        </w:rPr>
        <w:t>Referencias</w:t>
      </w:r>
    </w:p>
    <w:p>
      <w:pPr>
        <w:pStyle w:val="ListBullet"/>
      </w:pPr>
      <w:r>
        <w:t>Consejo Nacional de Coordinación de Políticas Sociales &amp; UNICEF Argentina. (2020). Encuesta Nacional de Niñas, Niños y Adolescentes 2019-2020 (MICS6 Argentina) [Dataset]. UNICEF. https://mics.unicef.org/surveys</w:t>
      </w:r>
    </w:p>
    <w:p>
      <w:pPr>
        <w:pStyle w:val="ListBullet"/>
      </w:pPr>
      <w:r>
        <w:t>World Health Organization. (2006). WHO Child Growth Standards: Length/height-for-age, weight-for-age, weight-for-length, weight-for-height and body mass index-for-age: Methods and development [Dataset]. WHO. https://www.who.int/toolkits/child-growth-standards/standards/weight-for-age</w:t>
      </w:r>
    </w:p>
    <w:p>
      <w:pPr>
        <w:pStyle w:val="ListBullet"/>
      </w:pPr>
      <w:r>
        <w:t>Consejo Nacional de Coordinación de Políticas Sociales. (s.f.). Consejo Nacional de Coordinación de Políticas Sociales. Argentina.gob.ar. https://www.argentina.gob.ar/politicassociales</w:t>
      </w:r>
    </w:p>
    <w:p>
      <w:pPr>
        <w:pStyle w:val="ListBullet"/>
      </w:pPr>
      <w:r>
        <w:t>Fondo de las Naciones Unidas para la Infancia. (2023). Estado mundial de la infancia 2023: Para cada niño, vacunación. https://www.unicef.org/es/informes/estado-mundial-infancia-2023</w:t>
      </w:r>
    </w:p>
    <w:p>
      <w:pPr>
        <w:pStyle w:val="Heading1"/>
      </w:pPr>
      <w:r>
        <w:rPr>
          <w:color w:val="1F4E79"/>
        </w:rPr>
        <w:t>Notas</w:t>
      </w:r>
    </w:p>
    <w:p>
      <w:r>
        <w:t>¹ Multiple Indicator Cluster Surveys (Encuesta de Indicadores Múltiples por Conglomerados), ronda 6.</w:t>
      </w:r>
    </w:p>
    <w:p>
      <w:r>
        <w:t>⁴ Jerarquía de Datos, Información, Conocimiento y Sabiduría.</w:t>
      </w:r>
    </w:p>
    <w:p>
      <w:r>
        <w:t>⁵ Weight-for-age Z-score (Puntaje Z de Peso para la Edad). Se aclara en el diccionario como la desviación estándar respecto a la norma.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Versión con comentarios incorporados inline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