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/>
          <w:b w:val="0"/>
          <w:i w:val="0"/>
          <w:color w:val="555555"/>
          <w:sz w:val="20"/>
        </w:rPr>
        <w:t>Universitat Oberta de Catalunya · Master Universitario en Ciencia de Datos</w:t>
      </w:r>
    </w:p>
    <w:p>
      <w:pPr>
        <w:spacing w:after="240" w:before="0"/>
      </w:pPr>
      <w:r>
        <w:rPr>
          <w:rFonts w:ascii="Calibri" w:hAnsi="Calibri"/>
          <w:b w:val="0"/>
          <w:i w:val="0"/>
          <w:color w:val="555555"/>
          <w:sz w:val="20"/>
        </w:rPr>
        <w:t>Asignatura: Visualizacion de Datos · PRA2 · Sebastian Serrentino Mangino</w:t>
      </w:r>
    </w:p>
    <w:p>
      <w:pPr>
        <w:keepNext/>
        <w:spacing w:after="160" w:before="280"/>
      </w:pPr>
      <w:r>
        <w:rPr>
          <w:rFonts w:ascii="Calibri" w:hAnsi="Calibri"/>
          <w:b/>
          <w:i w:val="0"/>
          <w:sz w:val="36"/>
        </w:rPr>
        <w:t>Revision critica PRA2 — Etapa 5</w:t>
      </w:r>
    </w:p>
    <w:p>
      <w:pPr>
        <w:spacing w:after="240" w:before="0"/>
      </w:pPr>
      <w:r>
        <w:rPr>
          <w:rFonts w:ascii="Calibri" w:hAnsi="Calibri"/>
          <w:b w:val="0"/>
          <w:i w:val="0"/>
          <w:color w:val="333333"/>
          <w:sz w:val="21"/>
        </w:rPr>
        <w:t>Documento de soporte academico (Etapa 5 del prompt metodologico). Evaluacion como tribunal academico sobre los entregables PRA2: informe v2, guion v2, aplicacion publicada en shinyapps.io y artefactos de codigo, tras la aplicacion de los bugfixes (orden en summarise, weighted_avg defensivo, paleta Okabe-Ito, politica de incertidumbre n&gt;=25 e IIP filtrado).</w:t>
      </w:r>
    </w:p>
    <w:p>
      <w:pPr>
        <w:keepNext/>
        <w:spacing w:after="160" w:before="280"/>
      </w:pPr>
      <w:r>
        <w:rPr>
          <w:rFonts w:ascii="Calibri" w:hAnsi="Calibri"/>
          <w:b/>
          <w:i w:val="0"/>
          <w:sz w:val="28"/>
        </w:rPr>
        <w:t>Convencion de evaluacion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Evaluacion: A (cumple plenamente), B (cumple con observaciones), C (cumple parcialmente), D (incumplimiento).</w:t>
      </w:r>
    </w:p>
    <w:p>
      <w:pPr>
        <w:spacing w:after="240" w:before="0"/>
      </w:pPr>
      <w:r>
        <w:rPr>
          <w:rFonts w:ascii="Calibri" w:hAnsi="Calibri"/>
          <w:b w:val="0"/>
          <w:i w:val="0"/>
          <w:sz w:val="21"/>
        </w:rPr>
        <w:t>Riesgo en evaluacion academica: Bajo / Medio / Alto.</w:t>
      </w:r>
    </w:p>
    <w:p>
      <w:pPr>
        <w:keepNext/>
        <w:spacing w:after="160" w:before="280"/>
      </w:pPr>
      <w:r>
        <w:rPr>
          <w:rFonts w:ascii="Calibri" w:hAnsi="Calibri"/>
          <w:b/>
          <w:i w:val="0"/>
          <w:sz w:val="28"/>
        </w:rPr>
        <w:t>1. Matriz de evaluacion como tribunal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381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Criterio</w:t>
            </w:r>
          </w:p>
        </w:tc>
        <w:tc>
          <w:tcPr>
            <w:tcW w:type="dxa" w:w="907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Evaluacion</w:t>
            </w:r>
          </w:p>
        </w:tc>
        <w:tc>
          <w:tcPr>
            <w:tcW w:type="dxa" w:w="850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Riesgo</w:t>
            </w:r>
          </w:p>
        </w:tc>
        <w:tc>
          <w:tcPr>
            <w:tcW w:type="dxa" w:w="4876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Mejora recomendada</w:t>
            </w:r>
          </w:p>
        </w:tc>
      </w:tr>
      <w:tr>
        <w:tc>
          <w:tcPr>
            <w:tcW w:type="dxa" w:w="238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1.1 Eleccion adecuada de herramientas y tecnicas (R/Shiny/Plotly/ggplot2) coherente con MICS6 y narrativa exploratoria.</w:t>
            </w:r>
          </w:p>
        </w:tc>
        <w:tc>
          <w:tcPr>
            <w:tcW w:type="dxa" w:w="90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</w:t>
            </w:r>
          </w:p>
        </w:tc>
        <w:tc>
          <w:tcPr>
            <w:tcW w:type="dxa" w:w="850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Bajo</w:t>
            </w:r>
          </w:p>
        </w:tc>
        <w:tc>
          <w:tcPr>
            <w:tcW w:type="dxa" w:w="4876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Mantener. Eventualmente citar Wickham (2016) en el informe para reforzar la base ggplot2 si se ampliara la bibliografia.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1.2 Calidad profesional para publicos especializados y no especializados (doble lectura).</w:t>
            </w:r>
          </w:p>
        </w:tc>
        <w:tc>
          <w:tcPr>
            <w:tcW w:type="dxa" w:w="90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</w:t>
            </w:r>
          </w:p>
        </w:tc>
        <w:tc>
          <w:tcPr>
            <w:tcW w:type="dxa" w:w="850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Bajo</w:t>
            </w:r>
          </w:p>
        </w:tc>
        <w:tc>
          <w:tcPr>
            <w:tcW w:type="dxa" w:w="4876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Reforzado con tarjetas de KPI, lecturas guiadas y nota metodologica. Pendiente: anotaciones cuantitativas destacadas dentro de los graficos para guiar al lector general.</w:t>
            </w:r>
          </w:p>
        </w:tc>
      </w:tr>
      <w:tr>
        <w:tc>
          <w:tcPr>
            <w:tcW w:type="dxa" w:w="238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1.3 Formulacion y respuesta razonada de preguntas clave (3 preguntas guia P1-P3).</w:t>
            </w:r>
          </w:p>
        </w:tc>
        <w:tc>
          <w:tcPr>
            <w:tcW w:type="dxa" w:w="90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</w:t>
            </w:r>
          </w:p>
        </w:tc>
        <w:tc>
          <w:tcPr>
            <w:tcW w:type="dxa" w:w="850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Bajo</w:t>
            </w:r>
          </w:p>
        </w:tc>
        <w:tc>
          <w:tcPr>
            <w:tcW w:type="dxa" w:w="4876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Cubierto: las 3 preguntas estan declaradas en §2.3 del informe y mapeadas a las pestanas Crecimiento, Estimulacion e IIP. La pestana Inicio las explicita tras el fix A2.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1.4 Diseno interactivo y comunicativo (filtros con rol analitico).</w:t>
            </w:r>
          </w:p>
        </w:tc>
        <w:tc>
          <w:tcPr>
            <w:tcW w:type="dxa" w:w="90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</w:t>
            </w:r>
          </w:p>
        </w:tc>
        <w:tc>
          <w:tcPr>
            <w:tcW w:type="dxa" w:w="850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Bajo</w:t>
            </w:r>
          </w:p>
        </w:tc>
        <w:tc>
          <w:tcPr>
            <w:tcW w:type="dxa" w:w="4876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OK. Mejora futura: persistencia de filtros entre pestanas (no es bloqueante).</w:t>
            </w:r>
          </w:p>
        </w:tc>
      </w:tr>
      <w:tr>
        <w:tc>
          <w:tcPr>
            <w:tcW w:type="dxa" w:w="238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1.5 Visualizacion publicada en linea, accesible sin registro.</w:t>
            </w:r>
          </w:p>
        </w:tc>
        <w:tc>
          <w:tcPr>
            <w:tcW w:type="dxa" w:w="90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</w:t>
            </w:r>
          </w:p>
        </w:tc>
        <w:tc>
          <w:tcPr>
            <w:tcW w:type="dxa" w:w="850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Bajo</w:t>
            </w:r>
          </w:p>
        </w:tc>
        <w:tc>
          <w:tcPr>
            <w:tcW w:type="dxa" w:w="4876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URL shinyapps.io operativa y abierta. Verificar modo incognito antes de la entrega.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1.6 Codigo publicado en repositorio publico con licencia open source.</w:t>
            </w:r>
          </w:p>
        </w:tc>
        <w:tc>
          <w:tcPr>
            <w:tcW w:type="dxa" w:w="90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</w:t>
            </w:r>
          </w:p>
        </w:tc>
        <w:tc>
          <w:tcPr>
            <w:tcW w:type="dxa" w:w="850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Alto</w:t>
            </w:r>
          </w:p>
        </w:tc>
        <w:tc>
          <w:tcPr>
            <w:tcW w:type="dxa" w:w="4876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PENDIENTE: crear repo GitHub publico con LICENSE MIT, subir el proyecto y enlazarlo en informe + guion + README. Es requisito explicito de la consigna.</w:t>
            </w:r>
          </w:p>
        </w:tc>
      </w:tr>
      <w:tr>
        <w:tc>
          <w:tcPr>
            <w:tcW w:type="dxa" w:w="238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1.7 Video de 4-6 minutos cumpliendo la rubrica oficial.</w:t>
            </w:r>
          </w:p>
        </w:tc>
        <w:tc>
          <w:tcPr>
            <w:tcW w:type="dxa" w:w="90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</w:t>
            </w:r>
          </w:p>
        </w:tc>
        <w:tc>
          <w:tcPr>
            <w:tcW w:type="dxa" w:w="850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Medio</w:t>
            </w:r>
          </w:p>
        </w:tc>
        <w:tc>
          <w:tcPr>
            <w:tcW w:type="dxa" w:w="4876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Guion v2 mapeado a porcentajes. Pendiente: ensayo cronometrado y grabacion antes del cierre.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1.8 Declaracion explicita y citada del uso de IA por apartado.</w:t>
            </w:r>
          </w:p>
        </w:tc>
        <w:tc>
          <w:tcPr>
            <w:tcW w:type="dxa" w:w="90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</w:t>
            </w:r>
          </w:p>
        </w:tc>
        <w:tc>
          <w:tcPr>
            <w:tcW w:type="dxa" w:w="850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Bajo</w:t>
            </w:r>
          </w:p>
        </w:tc>
        <w:tc>
          <w:tcPr>
            <w:tcW w:type="dxa" w:w="4876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Tabla 9 del informe v2 detalla apartado / herramienta / objetivo / prompt / edicion humana.</w:t>
            </w:r>
          </w:p>
        </w:tc>
      </w:tr>
      <w:tr>
        <w:tc>
          <w:tcPr>
            <w:tcW w:type="dxa" w:w="238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2.1 Audiencias destinatarias explicitas (salud publica, primera infancia, corresponsabilidad, academia).</w:t>
            </w:r>
          </w:p>
        </w:tc>
        <w:tc>
          <w:tcPr>
            <w:tcW w:type="dxa" w:w="90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</w:t>
            </w:r>
          </w:p>
        </w:tc>
        <w:tc>
          <w:tcPr>
            <w:tcW w:type="dxa" w:w="850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Bajo</w:t>
            </w:r>
          </w:p>
        </w:tc>
        <w:tc>
          <w:tcPr>
            <w:tcW w:type="dxa" w:w="4876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Cubierto en Resumen ejecutivo y §1.1 del informe v2.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2.2 Control por edad, sexo y quintil al comparar indicadores (facet, filtros).</w:t>
            </w:r>
          </w:p>
        </w:tc>
        <w:tc>
          <w:tcPr>
            <w:tcW w:type="dxa" w:w="90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</w:t>
            </w:r>
          </w:p>
        </w:tc>
        <w:tc>
          <w:tcPr>
            <w:tcW w:type="dxa" w:w="850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Bajo</w:t>
            </w:r>
          </w:p>
        </w:tc>
        <w:tc>
          <w:tcPr>
            <w:tcW w:type="dxa" w:w="4876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Implementado en plot_crecimiento (facet por sexo, color por quintil) y en agregar_crecimiento.</w:t>
            </w:r>
          </w:p>
        </w:tc>
      </w:tr>
      <w:tr>
        <w:tc>
          <w:tcPr>
            <w:tcW w:type="dxa" w:w="238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2.3 Limitaciones convertidas en decisiones concretas (umbral n&gt;=25, tabla decisiones_limpieza).</w:t>
            </w:r>
          </w:p>
        </w:tc>
        <w:tc>
          <w:tcPr>
            <w:tcW w:type="dxa" w:w="90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</w:t>
            </w:r>
          </w:p>
        </w:tc>
        <w:tc>
          <w:tcPr>
            <w:tcW w:type="dxa" w:w="850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Bajo</w:t>
            </w:r>
          </w:p>
        </w:tc>
        <w:tc>
          <w:tcPr>
            <w:tcW w:type="dxa" w:w="4876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Tabla 3 + §4.3 del informe + caption en figuras.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2.4 Diccionario ampliado (11 variables con clave de union, sexo, edad, etc.).</w:t>
            </w:r>
          </w:p>
        </w:tc>
        <w:tc>
          <w:tcPr>
            <w:tcW w:type="dxa" w:w="90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</w:t>
            </w:r>
          </w:p>
        </w:tc>
        <w:tc>
          <w:tcPr>
            <w:tcW w:type="dxa" w:w="850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Bajo</w:t>
            </w:r>
          </w:p>
        </w:tc>
        <w:tc>
          <w:tcPr>
            <w:tcW w:type="dxa" w:w="4876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Tabla 2 informe y pestana Metodologia de la app.</w:t>
            </w:r>
          </w:p>
        </w:tc>
      </w:tr>
      <w:tr>
        <w:tc>
          <w:tcPr>
            <w:tcW w:type="dxa" w:w="238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2.5 Justificacion del cambio metodologico (WAZ2/WAZFLAG provistos por MICS, sin recalculo OMS externo).</w:t>
            </w:r>
          </w:p>
        </w:tc>
        <w:tc>
          <w:tcPr>
            <w:tcW w:type="dxa" w:w="90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</w:t>
            </w:r>
          </w:p>
        </w:tc>
        <w:tc>
          <w:tcPr>
            <w:tcW w:type="dxa" w:w="850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Bajo</w:t>
            </w:r>
          </w:p>
        </w:tc>
        <w:tc>
          <w:tcPr>
            <w:tcW w:type="dxa" w:w="4876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Documentado en §4.1.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3.1 Continuidad de objetivos y dataset entre PRA1 y PRA2.</w:t>
            </w:r>
          </w:p>
        </w:tc>
        <w:tc>
          <w:tcPr>
            <w:tcW w:type="dxa" w:w="90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</w:t>
            </w:r>
          </w:p>
        </w:tc>
        <w:tc>
          <w:tcPr>
            <w:tcW w:type="dxa" w:w="850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Bajo</w:t>
            </w:r>
          </w:p>
        </w:tc>
        <w:tc>
          <w:tcPr>
            <w:tcW w:type="dxa" w:w="4876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Misma fuente, mismo recorte (ninos/as &lt;5 anos), misma logica de IIP. Refuerzo metodologico explicito.</w:t>
            </w:r>
          </w:p>
        </w:tc>
      </w:tr>
      <w:tr>
        <w:tc>
          <w:tcPr>
            <w:tcW w:type="dxa" w:w="238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3.2 Coherencia entre pregunta guia general (Inicio) y preguntas especificas P1-P3.</w:t>
            </w:r>
          </w:p>
        </w:tc>
        <w:tc>
          <w:tcPr>
            <w:tcW w:type="dxa" w:w="90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</w:t>
            </w:r>
          </w:p>
        </w:tc>
        <w:tc>
          <w:tcPr>
            <w:tcW w:type="dxa" w:w="850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Bajo</w:t>
            </w:r>
          </w:p>
        </w:tc>
        <w:tc>
          <w:tcPr>
            <w:tcW w:type="dxa" w:w="4876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Tras fix A2 ya estan ambas presentes en la app y en el informe.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3.3 Coherencia entre KPIs Inicio y resultados §7 (6.157 / 0,19 / 3,76 % / 63,11 % / 1,26).</w:t>
            </w:r>
          </w:p>
        </w:tc>
        <w:tc>
          <w:tcPr>
            <w:tcW w:type="dxa" w:w="90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</w:t>
            </w:r>
          </w:p>
        </w:tc>
        <w:tc>
          <w:tcPr>
            <w:tcW w:type="dxa" w:w="850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Bajo</w:t>
            </w:r>
          </w:p>
        </w:tc>
        <w:tc>
          <w:tcPr>
            <w:tcW w:type="dxa" w:w="4876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Verificado numericamente contra base_pra2.csv.</w:t>
            </w:r>
          </w:p>
        </w:tc>
      </w:tr>
      <w:tr>
        <w:tc>
          <w:tcPr>
            <w:tcW w:type="dxa" w:w="238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4.1 Uso de ponderadores muestrales (chweight) en todos los agregados.</w:t>
            </w:r>
          </w:p>
        </w:tc>
        <w:tc>
          <w:tcPr>
            <w:tcW w:type="dxa" w:w="90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</w:t>
            </w:r>
          </w:p>
        </w:tc>
        <w:tc>
          <w:tcPr>
            <w:tcW w:type="dxa" w:w="850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Bajo</w:t>
            </w:r>
          </w:p>
        </w:tc>
        <w:tc>
          <w:tcPr>
            <w:tcW w:type="dxa" w:w="4876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weighted_avg() defensivo aplicado en KPIs, tablas y plots.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4.2 Tratamiento de NAs y banderas antropometricas (WAZFLAG==0 &amp; WAZ2&lt;90).</w:t>
            </w:r>
          </w:p>
        </w:tc>
        <w:tc>
          <w:tcPr>
            <w:tcW w:type="dxa" w:w="90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</w:t>
            </w:r>
          </w:p>
        </w:tc>
        <w:tc>
          <w:tcPr>
            <w:tcW w:type="dxa" w:w="850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Bajo</w:t>
            </w:r>
          </w:p>
        </w:tc>
        <w:tc>
          <w:tcPr>
            <w:tcW w:type="dxa" w:w="4876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Filtro aplicado y documentado en Tabla 3.</w:t>
            </w:r>
          </w:p>
        </w:tc>
      </w:tr>
      <w:tr>
        <w:tc>
          <w:tcPr>
            <w:tcW w:type="dxa" w:w="238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4.3 Politica de incertidumbre y umbral minimo (n&lt;25 oculto).</w:t>
            </w:r>
          </w:p>
        </w:tc>
        <w:tc>
          <w:tcPr>
            <w:tcW w:type="dxa" w:w="90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</w:t>
            </w:r>
          </w:p>
        </w:tc>
        <w:tc>
          <w:tcPr>
            <w:tcW w:type="dxa" w:w="850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Bajo</w:t>
            </w:r>
          </w:p>
        </w:tc>
        <w:tc>
          <w:tcPr>
            <w:tcW w:type="dxa" w:w="4876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Aplicada en plot_crecimiento y en tabla_iip (origen + defensa en plot_iip). Documentada en §4.3.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4.4 Validacion cruzada R/Python.</w:t>
            </w:r>
          </w:p>
        </w:tc>
        <w:tc>
          <w:tcPr>
            <w:tcW w:type="dxa" w:w="90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</w:t>
            </w:r>
          </w:p>
        </w:tc>
        <w:tc>
          <w:tcPr>
            <w:tcW w:type="dxa" w:w="850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Bajo</w:t>
            </w:r>
          </w:p>
        </w:tc>
        <w:tc>
          <w:tcPr>
            <w:tcW w:type="dxa" w:w="4876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Pipeline en python_validation/. KPIs reagregados desde CSV final coinciden con KPIs originales con tolerancia &lt;0,005.</w:t>
            </w:r>
          </w:p>
        </w:tc>
      </w:tr>
      <w:tr>
        <w:tc>
          <w:tcPr>
            <w:tcW w:type="dxa" w:w="238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4.5 Honestidad grafica (proporciones vs media, escalas honestas, sin chartjunk).</w:t>
            </w:r>
          </w:p>
        </w:tc>
        <w:tc>
          <w:tcPr>
            <w:tcW w:type="dxa" w:w="90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</w:t>
            </w:r>
          </w:p>
        </w:tc>
        <w:tc>
          <w:tcPr>
            <w:tcW w:type="dxa" w:w="850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Bajo</w:t>
            </w:r>
          </w:p>
        </w:tc>
        <w:tc>
          <w:tcPr>
            <w:tcW w:type="dxa" w:w="4876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Selector Estimulacion conmuta escala automaticamente; ejes 0–1 para proporciones, eje libre para WAZ y eje 0–6 para IIP.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4.6 No causalidad declarada en todas las lecturas guiadas y en §9 del informe.</w:t>
            </w:r>
          </w:p>
        </w:tc>
        <w:tc>
          <w:tcPr>
            <w:tcW w:type="dxa" w:w="90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</w:t>
            </w:r>
          </w:p>
        </w:tc>
        <w:tc>
          <w:tcPr>
            <w:tcW w:type="dxa" w:w="850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Bajo</w:t>
            </w:r>
          </w:p>
        </w:tc>
        <w:tc>
          <w:tcPr>
            <w:tcW w:type="dxa" w:w="4876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Disclaimer consistente.</w:t>
            </w:r>
          </w:p>
        </w:tc>
      </w:tr>
      <w:tr>
        <w:tc>
          <w:tcPr>
            <w:tcW w:type="dxa" w:w="238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5.1 Paleta cromatica accesible (Okabe-Ito, sin gris para extremo).</w:t>
            </w:r>
          </w:p>
        </w:tc>
        <w:tc>
          <w:tcPr>
            <w:tcW w:type="dxa" w:w="90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</w:t>
            </w:r>
          </w:p>
        </w:tc>
        <w:tc>
          <w:tcPr>
            <w:tcW w:type="dxa" w:w="850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Bajo</w:t>
            </w:r>
          </w:p>
        </w:tc>
        <w:tc>
          <w:tcPr>
            <w:tcW w:type="dxa" w:w="4876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pal_quintil sincronizada en R/00_config.R y R/04_visualizaciones.R. Quintil 'Mas rico' = #D55E00.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5.2 Tipografia y jerarquia visual.</w:t>
            </w:r>
          </w:p>
        </w:tc>
        <w:tc>
          <w:tcPr>
            <w:tcW w:type="dxa" w:w="90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</w:t>
            </w:r>
          </w:p>
        </w:tc>
        <w:tc>
          <w:tcPr>
            <w:tcW w:type="dxa" w:w="850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Bajo</w:t>
            </w:r>
          </w:p>
        </w:tc>
        <w:tc>
          <w:tcPr>
            <w:tcW w:type="dxa" w:w="4876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OK. Mejora futura: cargar una fuente Google Fonts (Inter o Source Sans) via styles.css para mayor consistencia tipografica.</w:t>
            </w:r>
          </w:p>
        </w:tc>
      </w:tr>
      <w:tr>
        <w:tc>
          <w:tcPr>
            <w:tcW w:type="dxa" w:w="238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5.3 Espacio en blanco y densidad.</w:t>
            </w:r>
          </w:p>
        </w:tc>
        <w:tc>
          <w:tcPr>
            <w:tcW w:type="dxa" w:w="90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</w:t>
            </w:r>
          </w:p>
        </w:tc>
        <w:tc>
          <w:tcPr>
            <w:tcW w:type="dxa" w:w="850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Bajo</w:t>
            </w:r>
          </w:p>
        </w:tc>
        <w:tc>
          <w:tcPr>
            <w:tcW w:type="dxa" w:w="4876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Cards con padding 18-20px y un grafico principal por pestana.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5.4 Accesibilidad cromatica formal (WCAG AA).</w:t>
            </w:r>
          </w:p>
        </w:tc>
        <w:tc>
          <w:tcPr>
            <w:tcW w:type="dxa" w:w="90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</w:t>
            </w:r>
          </w:p>
        </w:tc>
        <w:tc>
          <w:tcPr>
            <w:tcW w:type="dxa" w:w="850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Medio</w:t>
            </w:r>
          </w:p>
        </w:tc>
        <w:tc>
          <w:tcPr>
            <w:tcW w:type="dxa" w:w="4876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Declarada como limitacion. Sin auditoria formal con axe/WAVE. Sugerido como trabajo futuro en §11 del informe; mencionar en el video bloque 4:20-4:45.</w:t>
            </w:r>
          </w:p>
        </w:tc>
      </w:tr>
      <w:tr>
        <w:tc>
          <w:tcPr>
            <w:tcW w:type="dxa" w:w="238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5.5 Mobile (meta viewport).</w:t>
            </w:r>
          </w:p>
        </w:tc>
        <w:tc>
          <w:tcPr>
            <w:tcW w:type="dxa" w:w="90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</w:t>
            </w:r>
          </w:p>
        </w:tc>
        <w:tc>
          <w:tcPr>
            <w:tcW w:type="dxa" w:w="850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Bajo</w:t>
            </w:r>
          </w:p>
        </w:tc>
        <w:tc>
          <w:tcPr>
            <w:tcW w:type="dxa" w:w="4876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OK basico. Mejora futura: verificar layout en pantallas &lt;380 px.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6.1 Estructura contexto → atencion → conclusion.</w:t>
            </w:r>
          </w:p>
        </w:tc>
        <w:tc>
          <w:tcPr>
            <w:tcW w:type="dxa" w:w="90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</w:t>
            </w:r>
          </w:p>
        </w:tc>
        <w:tc>
          <w:tcPr>
            <w:tcW w:type="dxa" w:w="850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Bajo</w:t>
            </w:r>
          </w:p>
        </w:tc>
        <w:tc>
          <w:tcPr>
            <w:tcW w:type="dxa" w:w="4876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Inicio (pregunta + KPIs) → Crecimiento/Estimulacion/IIP → Metodologia (cierre transparente).</w:t>
            </w:r>
          </w:p>
        </w:tc>
      </w:tr>
      <w:tr>
        <w:tc>
          <w:tcPr>
            <w:tcW w:type="dxa" w:w="238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6.2 Anotaciones narrativas (titulos, tooltips, lecturas guiadas, captions).</w:t>
            </w:r>
          </w:p>
        </w:tc>
        <w:tc>
          <w:tcPr>
            <w:tcW w:type="dxa" w:w="90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</w:t>
            </w:r>
          </w:p>
        </w:tc>
        <w:tc>
          <w:tcPr>
            <w:tcW w:type="dxa" w:w="850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Bajo</w:t>
            </w:r>
          </w:p>
        </w:tc>
        <w:tc>
          <w:tcPr>
            <w:tcW w:type="dxa" w:w="4876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Robusto. Mejora futura: anotaciones cuantitativas destacadas dentro de los graficos (por ejemplo: 'NEA: 43,23 % libros, frente a AMBA: 69,28 %').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6.3 Interaccion al servicio del analisis, no decorativa.</w:t>
            </w:r>
          </w:p>
        </w:tc>
        <w:tc>
          <w:tcPr>
            <w:tcW w:type="dxa" w:w="90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</w:t>
            </w:r>
          </w:p>
        </w:tc>
        <w:tc>
          <w:tcPr>
            <w:tcW w:type="dxa" w:w="850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Bajo</w:t>
            </w:r>
          </w:p>
        </w:tc>
        <w:tc>
          <w:tcPr>
            <w:tcW w:type="dxa" w:w="4876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Tabla 6 del informe documenta el rol analitico de cada filtro.</w:t>
            </w:r>
          </w:p>
        </w:tc>
      </w:tr>
      <w:tr>
        <w:tc>
          <w:tcPr>
            <w:tcW w:type="dxa" w:w="238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6.4 Limitaciones del IIP comunicadas en la app (sesgo de declaracion, diversidad familiar).</w:t>
            </w:r>
          </w:p>
        </w:tc>
        <w:tc>
          <w:tcPr>
            <w:tcW w:type="dxa" w:w="90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</w:t>
            </w:r>
          </w:p>
        </w:tc>
        <w:tc>
          <w:tcPr>
            <w:tcW w:type="dxa" w:w="850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Bajo</w:t>
            </w:r>
          </w:p>
        </w:tc>
        <w:tc>
          <w:tcPr>
            <w:tcW w:type="dxa" w:w="4876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Cubierto por fix A4 en la lectura guiada IIP.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7.1 Resumen ejecutivo, objetivos, preguntas, dataset, metodologia, diseno, resultados, limitaciones, IA, conclusiones, referencias, apendices.</w:t>
            </w:r>
          </w:p>
        </w:tc>
        <w:tc>
          <w:tcPr>
            <w:tcW w:type="dxa" w:w="90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</w:t>
            </w:r>
          </w:p>
        </w:tc>
        <w:tc>
          <w:tcPr>
            <w:tcW w:type="dxa" w:w="850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Bajo</w:t>
            </w:r>
          </w:p>
        </w:tc>
        <w:tc>
          <w:tcPr>
            <w:tcW w:type="dxa" w:w="4876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Informe v2 cubre 11 secciones + 3 apendices + portada + indice.</w:t>
            </w:r>
          </w:p>
        </w:tc>
      </w:tr>
      <w:tr>
        <w:tc>
          <w:tcPr>
            <w:tcW w:type="dxa" w:w="238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7.2 Citas en cuerpo en formato APA 7 (Autor, ano).</w:t>
            </w:r>
          </w:p>
        </w:tc>
        <w:tc>
          <w:tcPr>
            <w:tcW w:type="dxa" w:w="90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</w:t>
            </w:r>
          </w:p>
        </w:tc>
        <w:tc>
          <w:tcPr>
            <w:tcW w:type="dxa" w:w="850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Bajo</w:t>
            </w:r>
          </w:p>
        </w:tc>
        <w:tc>
          <w:tcPr>
            <w:tcW w:type="dxa" w:w="4876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Pase completo: Shneiderman, Few, Alcalde y Minguillon, UNICEF, WHO, Lumley, Equipo docente, OpenAI.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7.3 Referencias APA 7 con sangria francesa, DOI/URL cuando aplique.</w:t>
            </w:r>
          </w:p>
        </w:tc>
        <w:tc>
          <w:tcPr>
            <w:tcW w:type="dxa" w:w="90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</w:t>
            </w:r>
          </w:p>
        </w:tc>
        <w:tc>
          <w:tcPr>
            <w:tcW w:type="dxa" w:w="850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Bajo</w:t>
            </w:r>
          </w:p>
        </w:tc>
        <w:tc>
          <w:tcPr>
            <w:tcW w:type="dxa" w:w="4876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12 referencias con formato correcto.</w:t>
            </w:r>
          </w:p>
        </w:tc>
      </w:tr>
      <w:tr>
        <w:tc>
          <w:tcPr>
            <w:tcW w:type="dxa" w:w="238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7.4 Tablas y figuras numeradas con caption y nota de fuente.</w:t>
            </w:r>
          </w:p>
        </w:tc>
        <w:tc>
          <w:tcPr>
            <w:tcW w:type="dxa" w:w="90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</w:t>
            </w:r>
          </w:p>
        </w:tc>
        <w:tc>
          <w:tcPr>
            <w:tcW w:type="dxa" w:w="850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Bajo</w:t>
            </w:r>
          </w:p>
        </w:tc>
        <w:tc>
          <w:tcPr>
            <w:tcW w:type="dxa" w:w="4876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9 tablas con caption + 3 apendices.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7.5 Portada formal, indice automatico, paginacion.</w:t>
            </w:r>
          </w:p>
        </w:tc>
        <w:tc>
          <w:tcPr>
            <w:tcW w:type="dxa" w:w="90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</w:t>
            </w:r>
          </w:p>
        </w:tc>
        <w:tc>
          <w:tcPr>
            <w:tcW w:type="dxa" w:w="850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Bajo</w:t>
            </w:r>
          </w:p>
        </w:tc>
        <w:tc>
          <w:tcPr>
            <w:tcW w:type="dxa" w:w="4876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Portada institucional + campo TOC (F9 para actualizar).</w:t>
            </w:r>
          </w:p>
        </w:tc>
      </w:tr>
      <w:tr>
        <w:tc>
          <w:tcPr>
            <w:tcW w:type="dxa" w:w="238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8.1 Claridad del informe (lenguaje academico, prosa argumentativa, sin jergas innecesarias).</w:t>
            </w:r>
          </w:p>
        </w:tc>
        <w:tc>
          <w:tcPr>
            <w:tcW w:type="dxa" w:w="90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</w:t>
            </w:r>
          </w:p>
        </w:tc>
        <w:tc>
          <w:tcPr>
            <w:tcW w:type="dxa" w:w="850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Bajo</w:t>
            </w:r>
          </w:p>
        </w:tc>
        <w:tc>
          <w:tcPr>
            <w:tcW w:type="dxa" w:w="4876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Estilo consistente.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8.2 Claridad de la presentacion (guion 4-6 min con marcas de tiempo por rubrica).</w:t>
            </w:r>
          </w:p>
        </w:tc>
        <w:tc>
          <w:tcPr>
            <w:tcW w:type="dxa" w:w="90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</w:t>
            </w:r>
          </w:p>
        </w:tc>
        <w:tc>
          <w:tcPr>
            <w:tcW w:type="dxa" w:w="850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Bajo</w:t>
            </w:r>
          </w:p>
        </w:tc>
        <w:tc>
          <w:tcPr>
            <w:tcW w:type="dxa" w:w="4876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Guion v2 mapea cada bloque a porcentaje. Pendiente: ensayo cronometrado y grabacion.</w:t>
            </w:r>
          </w:p>
        </w:tc>
      </w:tr>
      <w:tr>
        <w:tc>
          <w:tcPr>
            <w:tcW w:type="dxa" w:w="238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9.1 IIP es un indice ad-hoc no validado externamente.</w:t>
            </w:r>
          </w:p>
        </w:tc>
        <w:tc>
          <w:tcPr>
            <w:tcW w:type="dxa" w:w="90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</w:t>
            </w:r>
          </w:p>
        </w:tc>
        <w:tc>
          <w:tcPr>
            <w:tcW w:type="dxa" w:w="850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Medio</w:t>
            </w:r>
          </w:p>
        </w:tc>
        <w:tc>
          <w:tcPr>
            <w:tcW w:type="dxa" w:w="4876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Defendible: se justifica como indice exploratorio basado en MICS6 y se cita literatura sobre corresponsabilidad. Anticipar la pregunta en el video con la frase 'no es un indice validado psicometricamente; resume practicas declaradas para una lectura comparativa'.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9.2 La app es descriptiva y no causal; no incorpora analisis inferencial del diseno muestral.</w:t>
            </w:r>
          </w:p>
        </w:tc>
        <w:tc>
          <w:tcPr>
            <w:tcW w:type="dxa" w:w="90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</w:t>
            </w:r>
          </w:p>
        </w:tc>
        <w:tc>
          <w:tcPr>
            <w:tcW w:type="dxa" w:w="850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Medio</w:t>
            </w:r>
          </w:p>
        </w:tc>
        <w:tc>
          <w:tcPr>
            <w:tcW w:type="dxa" w:w="4876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Defendible: explicito en §9 y en cada lectura guiada. Anticipar pregunta del tribunal con la mejora futura propuesta (paquete survey, Lumley 2010).</w:t>
            </w:r>
          </w:p>
        </w:tc>
      </w:tr>
      <w:tr>
        <w:tc>
          <w:tcPr>
            <w:tcW w:type="dxa" w:w="238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9.3 No hay auditoria WCAG AA formal.</w:t>
            </w:r>
          </w:p>
        </w:tc>
        <w:tc>
          <w:tcPr>
            <w:tcW w:type="dxa" w:w="90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</w:t>
            </w:r>
          </w:p>
        </w:tc>
        <w:tc>
          <w:tcPr>
            <w:tcW w:type="dxa" w:w="850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Medio</w:t>
            </w:r>
          </w:p>
        </w:tc>
        <w:tc>
          <w:tcPr>
            <w:tcW w:type="dxa" w:w="4876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Defendible: declarado como limitacion explicita. Anticipar la pregunta con la mejora futura (axe/WAVE).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9.4 Sin repositorio GitHub publico al momento de la auditoria.</w:t>
            </w:r>
          </w:p>
        </w:tc>
        <w:tc>
          <w:tcPr>
            <w:tcW w:type="dxa" w:w="90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</w:t>
            </w:r>
          </w:p>
        </w:tc>
        <w:tc>
          <w:tcPr>
            <w:tcW w:type="dxa" w:w="850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Alto</w:t>
            </w:r>
          </w:p>
        </w:tc>
        <w:tc>
          <w:tcPr>
            <w:tcW w:type="dxa" w:w="4876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BLOQUEANTE: crear repo + LICENSE MIT + push antes de la entrega. Incluir URL en portada del informe y en guion.</w:t>
            </w:r>
          </w:p>
        </w:tc>
      </w:tr>
      <w:tr>
        <w:tc>
          <w:tcPr>
            <w:tcW w:type="dxa" w:w="238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9.5 Algunas filas n&lt;25 quedan ocultas, reduciendo el detalle en celdas pequenas.</w:t>
            </w:r>
          </w:p>
        </w:tc>
        <w:tc>
          <w:tcPr>
            <w:tcW w:type="dxa" w:w="90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</w:t>
            </w:r>
          </w:p>
        </w:tc>
        <w:tc>
          <w:tcPr>
            <w:tcW w:type="dxa" w:w="850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Bajo</w:t>
            </w:r>
          </w:p>
        </w:tc>
        <w:tc>
          <w:tcPr>
            <w:tcW w:type="dxa" w:w="4876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Defendible: politica de incertidumbre explicita y documentada en §4.3, alineada con buenas practicas.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9.6 Solo CSVs / RDS provistos al lector; sin notebook reproducible interactivo.</w:t>
            </w:r>
          </w:p>
        </w:tc>
        <w:tc>
          <w:tcPr>
            <w:tcW w:type="dxa" w:w="90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</w:t>
            </w:r>
          </w:p>
        </w:tc>
        <w:tc>
          <w:tcPr>
            <w:tcW w:type="dxa" w:w="850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Bajo</w:t>
            </w:r>
          </w:p>
        </w:tc>
        <w:tc>
          <w:tcPr>
            <w:tcW w:type="dxa" w:w="4876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Defendible: el codigo R esta scriptado y reproducible via run_pipeline_completo.R. Mejora futura: notebook Quarto/Rmd como anexo.</w:t>
            </w:r>
          </w:p>
        </w:tc>
      </w:tr>
    </w:tbl>
    <w:p>
      <w:pPr>
        <w:keepNext/>
        <w:spacing w:after="160" w:before="280"/>
      </w:pPr>
      <w:r>
        <w:rPr>
          <w:rFonts w:ascii="Calibri" w:hAnsi="Calibri"/>
          <w:b/>
          <w:i w:val="0"/>
          <w:sz w:val="28"/>
        </w:rPr>
        <w:t>2. Mapa de defensa por seccion del informe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701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Seccion del informe</w:t>
            </w:r>
          </w:p>
        </w:tc>
        <w:tc>
          <w:tcPr>
            <w:tcW w:type="dxa" w:w="1984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Que defender</w:t>
            </w:r>
          </w:p>
        </w:tc>
        <w:tc>
          <w:tcPr>
            <w:tcW w:type="dxa" w:w="2551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Posible pregunta del tribunal</w:t>
            </w:r>
          </w:p>
        </w:tc>
        <w:tc>
          <w:tcPr>
            <w:tcW w:type="dxa" w:w="3402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Respuesta sugerida</w:t>
            </w:r>
          </w:p>
        </w:tc>
      </w:tr>
      <w:tr>
        <w:tc>
          <w:tcPr>
            <w:tcW w:type="dxa" w:w="170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1. Introduccion y motivacion</w:t>
            </w:r>
          </w:p>
        </w:tc>
        <w:tc>
          <w:tcPr>
            <w:tcW w:type="dxa" w:w="198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Por que un proyecto sobre primera infancia y corresponsabilidad.</w:t>
            </w:r>
          </w:p>
        </w:tc>
        <w:tc>
          <w:tcPr>
            <w:tcW w:type="dxa" w:w="255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¿Como conecta la motivacion personal con el rigor academico?</w:t>
            </w:r>
          </w:p>
        </w:tc>
        <w:tc>
          <w:tcPr>
            <w:tcW w:type="dxa" w:w="3402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La motivacion personal define el dominio. El rigor proviene de elegir una fuente solvente (MICS6), preguntas guia operacionalizables, controles por edad/sexo/quintil y publicacion abierta.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2. Objetivos y preguntas</w:t>
            </w:r>
          </w:p>
        </w:tc>
        <w:tc>
          <w:tcPr>
            <w:tcW w:type="dxa" w:w="198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Tres preguntas guia mapeadas a pestanas.</w:t>
            </w:r>
          </w:p>
        </w:tc>
        <w:tc>
          <w:tcPr>
            <w:tcW w:type="dxa" w:w="255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¿Por que estas tres preguntas y no otras?</w:t>
            </w:r>
          </w:p>
        </w:tc>
        <w:tc>
          <w:tcPr>
            <w:tcW w:type="dxa" w:w="3402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Cubren tres dimensiones complementarias del bienestar infantil: cuerpo (WAZ), entorno (libros/juguetes) y corresponsabilidad (IIP). Son verificables con la base.</w:t>
            </w:r>
          </w:p>
        </w:tc>
      </w:tr>
      <w:tr>
        <w:tc>
          <w:tcPr>
            <w:tcW w:type="dxa" w:w="170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3. Fuente y unidad</w:t>
            </w:r>
          </w:p>
        </w:tc>
        <w:tc>
          <w:tcPr>
            <w:tcW w:type="dxa" w:w="198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Eleccion de ch.sav, ponderacion chweight.</w:t>
            </w:r>
          </w:p>
        </w:tc>
        <w:tc>
          <w:tcPr>
            <w:tcW w:type="dxa" w:w="255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¿Por que no usar todos los modulos MICS?</w:t>
            </w:r>
          </w:p>
        </w:tc>
        <w:tc>
          <w:tcPr>
            <w:tcW w:type="dxa" w:w="3402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ch.sav contiene la unidad de analisis nino/a y todos los indicadores necesarios. Otros modulos podrian agregarse en trabajos futuros.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4. Preparacion y calidad</w:t>
            </w:r>
          </w:p>
        </w:tc>
        <w:tc>
          <w:tcPr>
            <w:tcW w:type="dxa" w:w="198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Cambio metodologico OMS y umbral n&gt;=25.</w:t>
            </w:r>
          </w:p>
        </w:tc>
        <w:tc>
          <w:tcPr>
            <w:tcW w:type="dxa" w:w="255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¿Por que no recalcular contra estandares OMS externos?</w:t>
            </w:r>
          </w:p>
        </w:tc>
        <w:tc>
          <w:tcPr>
            <w:tcW w:type="dxa" w:w="3402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MICS6 ya provee WAZ2 y WAZFLAG calculados con la metodologia oficial. Recalcular agregaria ruido y posibles inconsistencias.</w:t>
            </w:r>
          </w:p>
        </w:tc>
      </w:tr>
      <w:tr>
        <w:tc>
          <w:tcPr>
            <w:tcW w:type="dxa" w:w="170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5. Diseno</w:t>
            </w:r>
          </w:p>
        </w:tc>
        <w:tc>
          <w:tcPr>
            <w:tcW w:type="dxa" w:w="198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Aplicacion de Shneiderman y Few.</w:t>
            </w:r>
          </w:p>
        </w:tc>
        <w:tc>
          <w:tcPr>
            <w:tcW w:type="dxa" w:w="255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¿Por que un mapa de calor en Estimulacion?</w:t>
            </w:r>
          </w:p>
        </w:tc>
        <w:tc>
          <w:tcPr>
            <w:tcW w:type="dxa" w:w="3402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Overview de region × quintil simultaneo; el filtro de region permite zoom (barras) cuando se requiere drill-down.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6. Interactividad y accesibilidad</w:t>
            </w:r>
          </w:p>
        </w:tc>
        <w:tc>
          <w:tcPr>
            <w:tcW w:type="dxa" w:w="198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Rol analitico de filtros + paleta Okabe-Ito.</w:t>
            </w:r>
          </w:p>
        </w:tc>
        <w:tc>
          <w:tcPr>
            <w:tcW w:type="dxa" w:w="255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¿Como garantiza accesibilidad si no hay auditoria WCAG?</w:t>
            </w:r>
          </w:p>
        </w:tc>
        <w:tc>
          <w:tcPr>
            <w:tcW w:type="dxa" w:w="3402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Paleta validada (Okabe-Ito), contraste sobre fondo claro, leyendas y captions; declaracion de limitacion y mejora futura con axe/WAVE.</w:t>
            </w:r>
          </w:p>
        </w:tc>
      </w:tr>
      <w:tr>
        <w:tc>
          <w:tcPr>
            <w:tcW w:type="dxa" w:w="170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7. Resultados</w:t>
            </w:r>
          </w:p>
        </w:tc>
        <w:tc>
          <w:tcPr>
            <w:tcW w:type="dxa" w:w="198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Cifras consistentes con KPIs y con tablas.</w:t>
            </w:r>
          </w:p>
        </w:tc>
        <w:tc>
          <w:tcPr>
            <w:tcW w:type="dxa" w:w="255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¿Como verifica que los numeros del texto coinciden con la app?</w:t>
            </w:r>
          </w:p>
        </w:tc>
        <w:tc>
          <w:tcPr>
            <w:tcW w:type="dxa" w:w="3402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Validacion cruzada R/Python desde data_processed/ y verificacion contra CSV runtime. Tabla 7 muestra los indicadores generales.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8. Reproducibilidad</w:t>
            </w:r>
          </w:p>
        </w:tc>
        <w:tc>
          <w:tcPr>
            <w:tcW w:type="dxa" w:w="198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Pipeline scriptado y publicacion en shinyapps.io.</w:t>
            </w:r>
          </w:p>
        </w:tc>
        <w:tc>
          <w:tcPr>
            <w:tcW w:type="dxa" w:w="255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¿Como reproduzco el analisis?</w:t>
            </w:r>
          </w:p>
        </w:tc>
        <w:tc>
          <w:tcPr>
            <w:tcW w:type="dxa" w:w="3402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Clonar repo (cuando se cree), ejecutar run_pipeline_completo.R para regenerar tablas y luego run_app_local.R.</w:t>
            </w:r>
          </w:p>
        </w:tc>
      </w:tr>
      <w:tr>
        <w:tc>
          <w:tcPr>
            <w:tcW w:type="dxa" w:w="170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9. Limitaciones y etica</w:t>
            </w:r>
          </w:p>
        </w:tc>
        <w:tc>
          <w:tcPr>
            <w:tcW w:type="dxa" w:w="198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No causalidad + sesgo de declaracion + diversidad familiar.</w:t>
            </w:r>
          </w:p>
        </w:tc>
        <w:tc>
          <w:tcPr>
            <w:tcW w:type="dxa" w:w="255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¿Como evita estigmatizar familias?</w:t>
            </w:r>
          </w:p>
        </w:tc>
        <w:tc>
          <w:tcPr>
            <w:tcW w:type="dxa" w:w="3402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Encuadre no causal, lectura guiada que reconoce diversidad de formas familiares y que el IIP captura corresponsabilidad declarada, no calidad del vinculo.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10. Declaracion de IA</w:t>
            </w:r>
          </w:p>
        </w:tc>
        <w:tc>
          <w:tcPr>
            <w:tcW w:type="dxa" w:w="198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Trazabilidad por apartado.</w:t>
            </w:r>
          </w:p>
        </w:tc>
        <w:tc>
          <w:tcPr>
            <w:tcW w:type="dxa" w:w="255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¿Que uso de IA hubo?</w:t>
            </w:r>
          </w:p>
        </w:tc>
        <w:tc>
          <w:tcPr>
            <w:tcW w:type="dxa" w:w="3402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Apoyo limitado para estructura, prototipos de codigo, revision y redaccion; cada apartado declarado en Tabla 9.</w:t>
            </w:r>
          </w:p>
        </w:tc>
      </w:tr>
      <w:tr>
        <w:tc>
          <w:tcPr>
            <w:tcW w:type="dxa" w:w="170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11. Conclusiones y trabajo futuro</w:t>
            </w:r>
          </w:p>
        </w:tc>
        <w:tc>
          <w:tcPr>
            <w:tcW w:type="dxa" w:w="198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Contribucion comunicativa + propuestas de continuidad.</w:t>
            </w:r>
          </w:p>
        </w:tc>
        <w:tc>
          <w:tcPr>
            <w:tcW w:type="dxa" w:w="255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¿Que aporta esta visualizacion?</w:t>
            </w:r>
          </w:p>
        </w:tc>
        <w:tc>
          <w:tcPr>
            <w:tcW w:type="dxa" w:w="3402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Ordena un conjunto complejo, lo hace explorable y reproducible, y propone IIP como punto de partida para conversaciones sobre corresponsabilidad.</w:t>
            </w:r>
          </w:p>
        </w:tc>
      </w:tr>
    </w:tbl>
    <w:p>
      <w:pPr>
        <w:keepNext/>
        <w:spacing w:after="160" w:before="280"/>
      </w:pPr>
      <w:r>
        <w:rPr>
          <w:rFonts w:ascii="Calibri" w:hAnsi="Calibri"/>
          <w:b/>
          <w:i w:val="0"/>
          <w:sz w:val="28"/>
        </w:rPr>
        <w:t>3. Indicadores cuantitativos de cierre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969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Indicador</w:t>
            </w:r>
          </w:p>
        </w:tc>
        <w:tc>
          <w:tcPr>
            <w:tcW w:type="dxa" w:w="1701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Valor</w:t>
            </w:r>
          </w:p>
        </w:tc>
        <w:tc>
          <w:tcPr>
            <w:tcW w:type="dxa" w:w="3969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Observacion</w:t>
            </w:r>
          </w:p>
        </w:tc>
      </w:tr>
      <w:tr>
        <w:tc>
          <w:tcPr>
            <w:tcW w:type="dxa" w:w="3969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Cumplimiento de criterios A (cumple plenamente)</w:t>
            </w:r>
          </w:p>
        </w:tc>
        <w:tc>
          <w:tcPr>
            <w:tcW w:type="dxa" w:w="170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26 / 38</w:t>
            </w:r>
          </w:p>
        </w:tc>
        <w:tc>
          <w:tcPr>
            <w:tcW w:type="dxa" w:w="3969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68 %</w:t>
            </w:r>
          </w:p>
        </w:tc>
      </w:tr>
      <w:tr>
        <w:tc>
          <w:tcPr>
            <w:tcW w:type="dxa" w:w="3969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Cumplimiento de criterios B (cumple con observaciones)</w:t>
            </w:r>
          </w:p>
        </w:tc>
        <w:tc>
          <w:tcPr>
            <w:tcW w:type="dxa" w:w="170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9 / 38</w:t>
            </w:r>
          </w:p>
        </w:tc>
        <w:tc>
          <w:tcPr>
            <w:tcW w:type="dxa" w:w="3969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24 %</w:t>
            </w:r>
          </w:p>
        </w:tc>
      </w:tr>
      <w:tr>
        <w:tc>
          <w:tcPr>
            <w:tcW w:type="dxa" w:w="3969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Cumplimiento de criterios C (cumple parcialmente)</w:t>
            </w:r>
          </w:p>
        </w:tc>
        <w:tc>
          <w:tcPr>
            <w:tcW w:type="dxa" w:w="170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3 / 38</w:t>
            </w:r>
          </w:p>
        </w:tc>
        <w:tc>
          <w:tcPr>
            <w:tcW w:type="dxa" w:w="3969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8 %</w:t>
            </w:r>
          </w:p>
        </w:tc>
      </w:tr>
      <w:tr>
        <w:tc>
          <w:tcPr>
            <w:tcW w:type="dxa" w:w="3969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Cumplimiento de criterios D (incumplimiento)</w:t>
            </w:r>
          </w:p>
        </w:tc>
        <w:tc>
          <w:tcPr>
            <w:tcW w:type="dxa" w:w="170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0 / 38</w:t>
            </w:r>
          </w:p>
        </w:tc>
        <w:tc>
          <w:tcPr>
            <w:tcW w:type="dxa" w:w="3969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0 %</w:t>
            </w:r>
          </w:p>
        </w:tc>
      </w:tr>
      <w:tr>
        <w:tc>
          <w:tcPr>
            <w:tcW w:type="dxa" w:w="3969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Riesgo Alto</w:t>
            </w:r>
          </w:p>
        </w:tc>
        <w:tc>
          <w:tcPr>
            <w:tcW w:type="dxa" w:w="170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2 / 38</w:t>
            </w:r>
          </w:p>
        </w:tc>
        <w:tc>
          <w:tcPr>
            <w:tcW w:type="dxa" w:w="3969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Repositorio GitHub publico + LICENSE; impacta criterios 1.6 y 9.4</w:t>
            </w:r>
          </w:p>
        </w:tc>
      </w:tr>
      <w:tr>
        <w:tc>
          <w:tcPr>
            <w:tcW w:type="dxa" w:w="3969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Riesgo Medio</w:t>
            </w:r>
          </w:p>
        </w:tc>
        <w:tc>
          <w:tcPr>
            <w:tcW w:type="dxa" w:w="170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5 / 38</w:t>
            </w:r>
          </w:p>
        </w:tc>
        <w:tc>
          <w:tcPr>
            <w:tcW w:type="dxa" w:w="3969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Defendibles con anticipacion de preguntas y mejoras futuras</w:t>
            </w:r>
          </w:p>
        </w:tc>
      </w:tr>
      <w:tr>
        <w:tc>
          <w:tcPr>
            <w:tcW w:type="dxa" w:w="3969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Riesgo Bajo</w:t>
            </w:r>
          </w:p>
        </w:tc>
        <w:tc>
          <w:tcPr>
            <w:tcW w:type="dxa" w:w="170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31 / 38</w:t>
            </w:r>
          </w:p>
        </w:tc>
        <w:tc>
          <w:tcPr>
            <w:tcW w:type="dxa" w:w="3969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Sin amenaza a la entrega</w:t>
            </w:r>
          </w:p>
        </w:tc>
      </w:tr>
    </w:tbl>
    <w:p>
      <w:pPr>
        <w:keepNext/>
        <w:spacing w:after="160" w:before="280"/>
      </w:pPr>
      <w:r>
        <w:rPr>
          <w:rFonts w:ascii="Calibri" w:hAnsi="Calibri"/>
          <w:b/>
          <w:i w:val="0"/>
          <w:sz w:val="28"/>
        </w:rPr>
        <w:t>4. Acciones requeridas antes de la entrega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850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Prio</w:t>
            </w:r>
          </w:p>
        </w:tc>
        <w:tc>
          <w:tcPr>
            <w:tcW w:type="dxa" w:w="6520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Accion</w:t>
            </w:r>
          </w:p>
        </w:tc>
        <w:tc>
          <w:tcPr>
            <w:tcW w:type="dxa" w:w="2268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Estado actual</w:t>
            </w:r>
          </w:p>
        </w:tc>
      </w:tr>
      <w:tr>
        <w:tc>
          <w:tcPr>
            <w:tcW w:type="dxa" w:w="850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P0</w:t>
            </w:r>
          </w:p>
        </w:tc>
        <w:tc>
          <w:tcPr>
            <w:tcW w:type="dxa" w:w="6520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Crear repositorio publico (GitHub) con LICENSE MIT y subir el proyecto.</w:t>
            </w:r>
          </w:p>
        </w:tc>
        <w:tc>
          <w:tcPr>
            <w:tcW w:type="dxa" w:w="2268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Pendiente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P0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Actualizar portada del informe e introduccion del guion con la URL del repo.</w:t>
            </w:r>
          </w:p>
        </w:tc>
        <w:tc>
          <w:tcPr>
            <w:tcW w:type="dxa" w:w="2268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Pendiente</w:t>
            </w:r>
          </w:p>
        </w:tc>
      </w:tr>
      <w:tr>
        <w:tc>
          <w:tcPr>
            <w:tcW w:type="dxa" w:w="850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P0</w:t>
            </w:r>
          </w:p>
        </w:tc>
        <w:tc>
          <w:tcPr>
            <w:tcW w:type="dxa" w:w="6520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Regenerar .rds via source('R/03_tablas_visualizacion.R') tras los fixes A1.</w:t>
            </w:r>
          </w:p>
        </w:tc>
        <w:tc>
          <w:tcPr>
            <w:tcW w:type="dxa" w:w="2268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Pendiente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P0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Redesplegar la app a shinyapps.io para reflejar A1-A5.</w:t>
            </w:r>
          </w:p>
        </w:tc>
        <w:tc>
          <w:tcPr>
            <w:tcW w:type="dxa" w:w="2268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Pendiente</w:t>
            </w:r>
          </w:p>
        </w:tc>
      </w:tr>
      <w:tr>
        <w:tc>
          <w:tcPr>
            <w:tcW w:type="dxa" w:w="850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P0</w:t>
            </w:r>
          </w:p>
        </w:tc>
        <w:tc>
          <w:tcPr>
            <w:tcW w:type="dxa" w:w="6520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Probar la app en modo incognito y verificar que no exige login.</w:t>
            </w:r>
          </w:p>
        </w:tc>
        <w:tc>
          <w:tcPr>
            <w:tcW w:type="dxa" w:w="2268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Pendiente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P1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Ensayo cronometrado del guion (objetivo 5 min).</w:t>
            </w:r>
          </w:p>
        </w:tc>
        <w:tc>
          <w:tcPr>
            <w:tcW w:type="dxa" w:w="2268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Pendiente</w:t>
            </w:r>
          </w:p>
        </w:tc>
      </w:tr>
      <w:tr>
        <w:tc>
          <w:tcPr>
            <w:tcW w:type="dxa" w:w="850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P1</w:t>
            </w:r>
          </w:p>
        </w:tc>
        <w:tc>
          <w:tcPr>
            <w:tcW w:type="dxa" w:w="6520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Grabar el video con la app en vivo.</w:t>
            </w:r>
          </w:p>
        </w:tc>
        <w:tc>
          <w:tcPr>
            <w:tcW w:type="dxa" w:w="2268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Pendiente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P2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Auditoria visual con axe/WAVE (opcional).</w:t>
            </w:r>
          </w:p>
        </w:tc>
        <w:tc>
          <w:tcPr>
            <w:tcW w:type="dxa" w:w="2268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Pendiente</w:t>
            </w:r>
          </w:p>
        </w:tc>
      </w:tr>
      <w:tr>
        <w:tc>
          <w:tcPr>
            <w:tcW w:type="dxa" w:w="850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P2</w:t>
            </w:r>
          </w:p>
        </w:tc>
        <w:tc>
          <w:tcPr>
            <w:tcW w:type="dxa" w:w="6520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Notebook Quarto/Rmd como anexo reproducible (opcional).</w:t>
            </w:r>
          </w:p>
        </w:tc>
        <w:tc>
          <w:tcPr>
            <w:tcW w:type="dxa" w:w="2268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Pendiente</w:t>
            </w:r>
          </w:p>
        </w:tc>
      </w:tr>
    </w:tbl>
    <w:p>
      <w:pPr>
        <w:keepNext/>
        <w:spacing w:after="160" w:before="280"/>
      </w:pPr>
      <w:r>
        <w:rPr>
          <w:rFonts w:ascii="Calibri" w:hAnsi="Calibri"/>
          <w:b/>
          <w:i w:val="0"/>
          <w:sz w:val="28"/>
        </w:rPr>
        <w:t>5. Sintesis de la revision critica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2"/>
        </w:rPr>
        <w:t>Tras la aplicacion de los bugfixes (orden en summarise, weighted_avg defensivo, paleta accesible Okabe-Ito, politica de incertidumbre n&gt;=25 y filtrado del outlier IIP) y de los fixes textuales A1-A5, los entregables son academicamente defendibles. El unico riesgo alto para la entrega es la creacion del repositorio publico con licencia (criterios 1.6 y 9.4) y el redespliegue de la app con los ultimos fixes. Las debilidades remanentes son explicitas, defendibles y vienen acompanadas de mejora futura.</w:t>
      </w:r>
    </w:p>
    <w:p>
      <w:pPr>
        <w:spacing w:after="40" w:before="0"/>
      </w:pPr>
      <w:r>
        <w:rPr>
          <w:rFonts w:ascii="Calibri" w:hAnsi="Calibri"/>
          <w:b w:val="0"/>
          <w:i/>
          <w:color w:val="555555"/>
          <w:sz w:val="22"/>
        </w:rPr>
        <w:t>Etapa 6: produccion de la version final, checklist de entrega y declaracion de IA por apartado consolidada.</w:t>
      </w:r>
    </w:p>
    <w:sectPr w:rsidR="00FC693F" w:rsidRPr="0006063C" w:rsidSect="00034616">
      <w:pgSz w:w="12240" w:h="15840"/>
      <w:pgMar w:top="1134" w:right="907" w:bottom="113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