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E5B8A"/>
          <w:sz w:val="56"/>
          <w:szCs w:val="56"/>
        </w:rPr>
        <w:t xml:space="preserve">CargoFlow Sentinel</w:t>
      </w:r>
    </w:p>
    <w:p>
      <w:pPr>
        <w:spacing w:after="320"/>
        <w:jc w:val="center"/>
      </w:pPr>
      <w:r>
        <w:rPr>
          <w:color w:val="555555"/>
          <w:sz w:val="26"/>
          <w:szCs w:val="26"/>
        </w:rPr>
        <w:t xml:space="preserve">Business Requirement &amp; Solution Plan</w:t>
      </w:r>
    </w:p>
    <w:p>
      <w:pPr>
        <w:pBdr>
          <w:bottom w:val="single" w:color="2E5B8A" w:sz="12" w:space="4"/>
        </w:pBdr>
        <w:spacing w:after="24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Prepared by:  </w:t>
      </w:r>
      <w:r>
        <w:t xml:space="preserve">Sabah Shaik, Integration Consultant — HSO International</w:t>
      </w:r>
    </w:p>
    <w:p>
      <w:pPr>
        <w:spacing w:after="100"/>
      </w:pPr>
      <w:r>
        <w:rPr>
          <w:b/>
          <w:bCs/>
        </w:rPr>
        <w:t xml:space="preserve">Prepared for:  </w:t>
      </w:r>
      <w:r>
        <w:t xml:space="preserve">Architecture review and sign-off prior to build</w:t>
      </w:r>
    </w:p>
    <w:p>
      <w:pPr>
        <w:spacing w:after="100"/>
      </w:pPr>
      <w:r>
        <w:rPr>
          <w:b/>
          <w:bCs/>
        </w:rPr>
        <w:t xml:space="preserve">Status:  </w:t>
      </w:r>
      <w:r>
        <w:t xml:space="preserve">Plan stage — pending validation</w:t>
      </w:r>
    </w:p>
    <w:p>
      <w:pPr>
        <w:pStyle w:val="Heading1"/>
        <w:spacing w:after="160" w:before="320"/>
      </w:pPr>
      <w:r>
        <w:t xml:space="preserve">1. Problem Statement</w:t>
      </w:r>
    </w:p>
    <w:p>
      <w:pPr>
        <w:spacing w:after="160"/>
      </w:pPr>
      <w:r>
        <w:t xml:space="preserve">Logistics coordinators today monitor shipments against service-level agreements — delay thresholds, cold-chain temperature limits, customs clearance timing — largely through periodic manual review. This approach has three structural weaknesses: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It does not scale. As shipment volume grows, the number of things a human must actively watch grows with it, with no corresponding increase in attention.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It is inconsistent. Detection quality depends on who is watching, how experienced they are, and how many other priorities are competing for their attention at that moment.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It is reactive by construction. Manual review happens periodically, not continuously — by the time an exception is noticed, it has often already become expensive: a missed customs window, a cold-chain breach, a production line waiting on a part that will not arrive on time.</w:t>
      </w:r>
    </w:p>
    <w:p>
      <w:pPr>
        <w:spacing w:after="160"/>
      </w:pPr>
      <w:r>
        <w:t xml:space="preserve">This problem maps directly onto integration work already underway between D365 Finance &amp; Operations and external logistics platforms, making it a natural extension of existing infrastructure rather than a parallel system to build and maintain.</w:t>
      </w:r>
    </w:p>
    <w:p>
      <w:pPr>
        <w:pStyle w:val="Heading1"/>
        <w:spacing w:after="160" w:before="320"/>
      </w:pPr>
      <w:r>
        <w:t xml:space="preserve">2. Proposed Solution: A Multi-Agent Monitoring System</w:t>
      </w:r>
    </w:p>
    <w:p>
      <w:pPr>
        <w:spacing w:after="160"/>
      </w:pPr>
      <w:r>
        <w:t xml:space="preserve">CargoFlow Sentinel is a three-agent monitoring and escalation system. Each agent has one clear responsibility, and they hand off to one another in sequence — with one step only running when it is actually needed.</w:t>
      </w:r>
    </w:p>
    <w:p>
      <w:pPr>
        <w:pStyle w:val="Heading2"/>
        <w:spacing w:after="120" w:before="240"/>
      </w:pPr>
      <w:r>
        <w:t xml:space="preserve">2.1 The three agents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Exception Detection Agent — continuously scans shipments against SLA thresholds (delay duration, cold-chain temperature) and classifies each as Normal, Warning, or Critical.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Root-Cause &amp; Action Agent — for any flagged shipment, diagnoses the likely cause (carrier delay, customs hold, cold-chain failure) and recommends one specific, actionable next step.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ERP Reconciliation Agent — invoked only when severity is Critical — cross-references the shipment against its linked purchase order to surface customer, order value, and production dependency, translating a technical exception into a business-impact statement.</w:t>
      </w:r>
    </w:p>
    <w:p>
      <w:pPr>
        <w:pStyle w:val="Heading2"/>
        <w:spacing w:after="120" w:before="240"/>
      </w:pPr>
      <w:r>
        <w:t xml:space="preserve">2.2 Why the conditional step matters</w:t>
      </w:r>
    </w:p>
    <w:p>
      <w:pPr>
        <w:spacing w:after="160"/>
      </w:pPr>
      <w:r>
        <w:t xml:space="preserve">The third agent does not run on every shipment — only on the ones flagged Critical. This is a deliberate design choice: lightweight detection runs on everything, while the more expensive, business-context-aware reasoning step runs only when the situation actually warrants it. This directly addresses the scaling weakness named in the problem statement — attention and processing cost should not be spent uniformly across shipments of very different risk.</w:t>
      </w:r>
    </w:p>
    <w:p>
      <w:pPr>
        <w:pStyle w:val="Heading1"/>
        <w:spacing w:after="160" w:before="320"/>
      </w:pPr>
      <w:r>
        <w:t xml:space="preserve">3. A Simple Example</w:t>
      </w:r>
    </w:p>
    <w:p>
      <w:pPr>
        <w:spacing w:after="160"/>
      </w:pPr>
      <w:r>
        <w:t xml:space="preserve">To make this concrete, here is what happens to one shipment, in plain terms, with no technical jargon.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refrigerated shipment of pharmaceutical stock is en route from Rotterdam to Warsaw. It is linked to a purchase order for a manufacturing customer whose production line depends on this delivery.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Partway through the journey, the shipment sits at customs far longer than expected, and the temperature log shows the cargo has crept above its safe limit.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first agent notices both problems immediately — not at the end of the day when someone checks a spreadsheet, but as soon as the readings come in — and marks the shipment Critical.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second agent looks at what went wrong and concludes: this looks like a customs hold combined with a refrigeration unit fault, and recommends contacting the carrier's dispatch team and flagging the cargo for inspection on arrival.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Because the shipment is Critical, the third agent then checks: which customer is this for, how much is the order worth, and does it feed a production line. It finds this order is tied to a €59,000 contract and that the customer's factory line depends on it — and raises this as an urgent case, not a routine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human coordinator, instead of discovering this hours later buried in a routine status report, sees an immediate, prioritized alert: what happened, why, what to do, and how much is at stake — while there is still time to act.</w:t>
      </w:r>
    </w:p>
    <w:p>
      <w:pPr>
        <w:spacing w:after="160"/>
      </w:pPr>
      <w:r>
        <w:t xml:space="preserve">That is the entire system, end to end: notice quickly, explain why, and tell a human how much it matters — automatically, and only escalating the cases that genuinely need a person's judgment.</w:t>
      </w:r>
    </w:p>
    <w:p>
      <w:pPr>
        <w:pStyle w:val="Heading1"/>
        <w:spacing w:after="160" w:before="320"/>
      </w:pPr>
      <w:r>
        <w:t xml:space="preserve">4. D365 Finance &amp; Operations / Retail Integration</w:t>
      </w:r>
    </w:p>
    <w:p>
      <w:pPr>
        <w:spacing w:after="160"/>
      </w:pPr>
      <w:r>
        <w:t xml:space="preserve">This section maps the solution's data model to real D365 F&amp;O / Retail entities, so the ERP Reconciliation Agent's logic reflects a realistic integration surface rather than a generic mock.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300"/>
      </w:tblGrid>
      <w:tr>
        <w:trPr>
          <w:tblHeader/>
        </w:trPr>
        <w:tc>
          <w:tcPr>
            <w:tcW w:type="dxa" w:w="3400"/>
            <w:shd w:fill="2E5B8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CargoFlow Sentinel Concept</w:t>
            </w:r>
          </w:p>
        </w:tc>
        <w:tc>
          <w:tcPr>
            <w:tcW w:type="dxa" w:w="3400"/>
            <w:shd w:fill="2E5B8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D365 F&amp;O / Retail Entity</w:t>
            </w:r>
          </w:p>
        </w:tc>
        <w:tc>
          <w:tcPr>
            <w:tcW w:type="dxa" w:w="3300"/>
            <w:shd w:fill="2E5B8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Integration Pattern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Shipment → linked Purchase Order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PurchTable / PurchLine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OData read (lightweight lookup, not bulk)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Customer, order value, production dependency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CustAccount, LineAmount, linked ProdTable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OData read, filtered by PurchId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Warehouse / shipment milestones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WHSShipment, WHSLoad, WHSWorkTable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OData read or Business Event trigger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Carrier / customs delay signal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Transportation Management LoadTable, or external logistics platform milestone data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Existing integration pattern (read-adjacent)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Critical exception → escalation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D365 workspace task / alert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Business Event → write-back (future scope)</w:t>
            </w:r>
          </w:p>
        </w:tc>
      </w:tr>
    </w:tbl>
    <w:p>
      <w:pPr>
        <w:spacing w:before="200"/>
      </w:pPr>
    </w:p>
    <w:p>
      <w:pPr>
        <w:spacing w:after="160"/>
      </w:pPr>
      <w:r>
        <w:rPr>
          <w:i/>
          <w:iCs/>
          <w:color w:val="555555"/>
        </w:rPr>
        <w:t xml:space="preserve">Scope note: the current prototype uses representative sample data shaped to match these entities, rather than a live D365FO connection. The recommended next step is confirming the entity mapping and query shape below are realistic, ahead of any live integration work.</w:t>
      </w:r>
    </w:p>
    <w:p>
      <w:pPr>
        <w:spacing w:after="160"/>
      </w:pPr>
      <w:r>
        <w:t xml:space="preserve">Representative production query (read-side, ERP Reconciliation Agent):</w:t>
      </w:r>
    </w:p>
    <w:p>
      <w:pPr>
        <w:spacing w:after="2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GET /data/PurchLines?$filter=PurchId eq 'PO-88205'&amp;$select=LineAmount,ItemId,InventLocationId</w:t>
      </w:r>
    </w:p>
    <w:p>
      <w:pPr>
        <w:pStyle w:val="Heading1"/>
        <w:spacing w:after="160" w:before="320"/>
      </w:pPr>
      <w:r>
        <w:t xml:space="preserve">5. Business Value</w:t>
      </w:r>
    </w:p>
    <w:p>
      <w:pPr>
        <w:spacing w:after="160"/>
      </w:pPr>
      <w:r>
        <w:t xml:space="preserve">The following are value categories this solution targets, stated as directional impact rather than measured results from a live deployment.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Faster time-to-detection: continuous monitoring closes the gap between an SLA starting to breach and a human becoming aware of it, which is where recoverability is typically lost.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Prioritized human attention: Warning/Critical triage, combined with the ERP Reconciliation Agent's business-impact framing, ensures a coordinator's limited time is spent on the shipments where financial and operational stakes are highest — not spread evenly across all of them.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Labor reallocation, not replacement: the system removes manual scanning work, not judgment — coordinators spend time on genuinely complex decisions and customer relationships rather than dashboard-watching.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Reuse of existing integration investment: because the ERP Reconciliation Agent's query shape maps onto entities already reachable via existing D365FO integration patterns, this extends current infrastructure rather than requiring a parallel system.</w:t>
      </w:r>
    </w:p>
    <w:p>
      <w:pPr>
        <w:pStyle w:val="Heading1"/>
        <w:spacing w:after="160" w:before="320"/>
      </w:pPr>
      <w:r>
        <w:t xml:space="preserve">6. Revenue Enhancement</w:t>
      </w:r>
    </w:p>
    <w:p>
      <w:pPr>
        <w:spacing w:after="160"/>
      </w:pPr>
      <w:r>
        <w:t xml:space="preserve">Most of this solution's financial impact is cost avoidance — protecting revenue and margin that would otherwise erode — rather than creating entirely new revenue streams. Both are shown below, as it is important to be precise about which is which.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900"/>
        <w:gridCol w:w="2900"/>
      </w:tblGrid>
      <w:tr>
        <w:trPr>
          <w:tblHeader/>
        </w:trPr>
        <w:tc>
          <w:tcPr>
            <w:tcW w:type="dxa" w:w="3300"/>
            <w:shd w:fill="2E5B8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Lever</w:t>
            </w:r>
          </w:p>
        </w:tc>
        <w:tc>
          <w:tcPr>
            <w:tcW w:type="dxa" w:w="3900"/>
            <w:shd w:fill="2E5B8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How it enhances revenue or margin</w:t>
            </w:r>
          </w:p>
        </w:tc>
        <w:tc>
          <w:tcPr>
            <w:tcW w:type="dxa" w:w="2900"/>
            <w:shd w:fill="2E5B8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Nature of impact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Avoided penalty and demurrage costs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Catching a customs or carrier delay early enough to act preserves margin that would otherwise be eroded by detention fees or expedited freight to recover the schedule.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</w:rPr>
              <w:t xml:space="preserve">Cost avoidance (protects existing margin)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Reduced spoilage / write-offs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Early cold-chain breach detection allows intervention or rerouting before product is a total loss, preserving the revenue that shipment represents.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</w:rPr>
              <w:t xml:space="preserve">Cost avoidance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Protected customer relationships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Proactively flagged and communicated delays are known to damage trust less than silent SLA misses, supporting retention and repeat business.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</w:rPr>
              <w:t xml:space="preserve">Revenue protection (retention)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Reduced production downtime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Flagging shipments tied to production-dependent purchase orders before they cause a line stoppage avoids the cost of idle labor and equipment, and avoided delay in customer-facing output.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</w:rPr>
              <w:t xml:space="preserve">Cost avoidance + throughput protection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Capacity for growth without proportional headcount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Because monitoring scales with shipment volume without a proportional increase in manual review effort, the same coordination team can support a larger book of business.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</w:rPr>
              <w:t xml:space="preserve">Enables revenue growth</w:t>
            </w:r>
          </w:p>
        </w:tc>
      </w:tr>
    </w:tbl>
    <w:p>
      <w:pPr>
        <w:pStyle w:val="Heading1"/>
        <w:spacing w:after="160" w:before="320"/>
      </w:pPr>
      <w:r>
        <w:t xml:space="preserve">7. Audience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Primary: Architecture and business stakeholders reviewing this plan for technical soundness, integration realism, and business case strength.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Secondary: Logistics/supply chain coordinators and their managers — the persona this system is ultimately designed to support day to day.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Tertiary: Finance and procurement stakeholders, who are the audience for the revenue and cost-avoidance case in Section 6.</w:t>
      </w:r>
    </w:p>
    <w:p>
      <w:pPr>
        <w:pStyle w:val="Heading1"/>
        <w:spacing w:after="160" w:before="320"/>
      </w:pPr>
      <w:r>
        <w:t xml:space="preserve">8. Plan → Design → Build → Validate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3400"/>
        <w:gridCol w:w="1700"/>
      </w:tblGrid>
      <w:tr>
        <w:trPr>
          <w:tblHeader/>
        </w:trPr>
        <w:tc>
          <w:tcPr>
            <w:tcW w:type="dxa" w:w="1600"/>
            <w:shd w:fill="2E5B8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Phase</w:t>
            </w:r>
          </w:p>
        </w:tc>
        <w:tc>
          <w:tcPr>
            <w:tcW w:type="dxa" w:w="3400"/>
            <w:shd w:fill="2E5B8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Activities</w:t>
            </w:r>
          </w:p>
        </w:tc>
        <w:tc>
          <w:tcPr>
            <w:tcW w:type="dxa" w:w="3400"/>
            <w:shd w:fill="2E5B8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Deliverable</w:t>
            </w:r>
          </w:p>
        </w:tc>
        <w:tc>
          <w:tcPr>
            <w:tcW w:type="dxa" w:w="1700"/>
            <w:shd w:fill="2E5B8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Owner / Gate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Plan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Define problem statement, target scenario, success metrics, and scope boundary.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This document — problem statement, solution shape, business value case, audience.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Architect review (this step)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Design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Finalize 3-agent architecture and conditional escalation logic; map data model to real D365 F&amp;O / Retail entities (PurchTable/PurchLine, ProdTable, WHSShipment); define integration query shape; define evaluation approach.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Architecture diagram, entity mapping table, evaluation plan.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Architect sign-off before build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Build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Implement the three agents (Exception Detection, Root-Cause &amp; Action, ERP Reconciliation); implement conditional escalation workflow; instrument monitoring/tracing; run quality evaluation against a test dataset.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Working multi-agent workflow, passing evaluation results, monitoring evidence.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Self + peer review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Validate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Run end-to-end scenarios (normal / warning / critical shipments); confirm evaluation results; confirm integration mapping with architecture stakeholders; sign off for pilot.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Validation report, sign-off for pilot deployment.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Architect + stakeholder review</w:t>
            </w:r>
          </w:p>
        </w:tc>
      </w:tr>
    </w:tbl>
    <w:p>
      <w:pPr>
        <w:pStyle w:val="Heading1"/>
        <w:spacing w:after="160" w:before="320"/>
      </w:pPr>
      <w:r>
        <w:t xml:space="preserve">9. Scope to Enhance This Solution</w:t>
      </w:r>
    </w:p>
    <w:p>
      <w:pPr>
        <w:spacing w:after="160"/>
      </w:pPr>
      <w:r>
        <w:t xml:space="preserve">The current build establishes the core pattern — detect, diagnose, and conditionally reconcile against ERP data. The following are natural next steps beyond the current build, sequenced roughly by effort.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Live D365 F&amp;O integration: replace representative sample data with a live read-only OData connection against the entities mapped in Section 4, starting with a single legal entity and a small shipment subset.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Write-back and alerting: extend the ERP Reconciliation Agent to raise a Business Event or workspace task directly in D365FO when a Critical exception is confirmed, so the flag reaches coordinators inside their existing system of record.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Outcome-based feedback loop: compare each prediction against what actually happened to the shipment days later, to catch missed detections that a one-time evaluation cannot surface and to grow the evaluation dataset from real cases over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Broader shipment and threshold coverage: extend beyond delay and cold-chain thresholds to additional signal types (e.g. humidity, shock/tilt sensors, additional customs milestones) as they become available.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Multi-carrier and multi-route scaling: validate the pattern holds as the number of carriers, routes, and concurrent shipments grows, and tune the escalation thresholds accordingly.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Pilot rollout: run the solution alongside existing manual monitoring for a defined trial period and route, to validate detection accuracy and coordinator response time before wider rollout.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2026-09-04T15:05:27.475Z</dcterms:created>
  <dcterms:modified xsi:type="dcterms:W3CDTF">2026-09-04T15:05:27.488Z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