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FC37B6">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FC37B6">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FC37B6">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FC37B6">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FC37B6">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FC37B6">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FC37B6">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FC37B6">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FC37B6">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FC37B6">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FC37B6">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FC37B6">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FC37B6">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FC37B6">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FC37B6">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FC37B6">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FC37B6">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FC37B6">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FC37B6">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FC37B6">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711669"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5711670"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5711671"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5711672"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FC37B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FC37B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FC37B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5711673"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4pt" o:ole="">
            <v:imagedata r:id="rId33" o:title=""/>
          </v:shape>
          <o:OLEObject Type="Embed" ProgID="Visio.Drawing.15" ShapeID="_x0000_i1030" DrawAspect="Content" ObjectID="_1715711674"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5" o:title=""/>
          </v:shape>
          <o:OLEObject Type="Embed" ProgID="Visio.Drawing.15" ShapeID="_x0000_i1031" DrawAspect="Content" ObjectID="_1715711675"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FC37B6"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FC37B6"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FC37B6"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FC37B6"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FC37B6"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7" o:title=""/>
          </v:shape>
          <o:OLEObject Type="Embed" ProgID="Visio.Drawing.15" ShapeID="_x0000_i1032" DrawAspect="Content" ObjectID="_1715711676"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FC37B6"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FC37B6"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FC37B6"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FC37B6"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FC37B6"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6pt;height:316.6pt" o:ole="">
            <v:imagedata r:id="rId39" o:title=""/>
          </v:shape>
          <o:OLEObject Type="Embed" ProgID="Visio.Drawing.15" ShapeID="_x0000_i1033" DrawAspect="Content" ObjectID="_1715711677"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1" o:title=""/>
          </v:shape>
          <o:OLEObject Type="Embed" ProgID="Visio.Drawing.15" ShapeID="_x0000_i1034" DrawAspect="Content" ObjectID="_1715711678"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FC37B6"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3pt" o:ole="">
            <v:imagedata r:id="rId43" o:title=""/>
          </v:shape>
          <o:OLEObject Type="Embed" ProgID="Visio.Drawing.15" ShapeID="_x0000_i1035" DrawAspect="Content" ObjectID="_1715711679"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FC37B6"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5" o:title=""/>
          </v:shape>
          <o:OLEObject Type="Embed" ProgID="Visio.Drawing.15" ShapeID="_x0000_i1036" DrawAspect="Content" ObjectID="_1715711680"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FC37B6"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FC37B6"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FC37B6"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FC37B6"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FC37B6"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FC37B6"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FC37B6"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FC37B6"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6pt;height:174pt" o:ole="">
            <v:imagedata r:id="rId47" o:title=""/>
          </v:shape>
          <o:OLEObject Type="Embed" ProgID="Visio.Drawing.15" ShapeID="_x0000_i1037" DrawAspect="Content" ObjectID="_1715711681"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FC37B6"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FC37B6"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FC37B6"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FC37B6"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5711682"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4" o:title=""/>
          </v:shape>
          <o:OLEObject Type="Embed" ProgID="Visio.Drawing.15" ShapeID="_x0000_i1039" DrawAspect="Content" ObjectID="_1715711683"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8pt" o:ole="">
            <v:imagedata r:id="rId56" o:title=""/>
          </v:shape>
          <o:OLEObject Type="Embed" ProgID="Visio.Drawing.15" ShapeID="_x0000_i1040" DrawAspect="Content" ObjectID="_1715711684"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8" o:title=""/>
          </v:shape>
          <o:OLEObject Type="Embed" ProgID="Visio.Drawing.15" ShapeID="_x0000_i1041" DrawAspect="Content" ObjectID="_1715711685"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5711686"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8pt" o:ole="">
            <v:imagedata r:id="rId62" o:title=""/>
          </v:shape>
          <o:OLEObject Type="Embed" ProgID="Visio.Drawing.15" ShapeID="_x0000_i1043" DrawAspect="Content" ObjectID="_1715711687"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5711688"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5711689"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FC37B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FC37B6"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FC37B6"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FC37B6"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FC37B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FC37B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FC37B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Transferring knowledge to smaller network with class-distance loss</w:t>
      </w:r>
      <w:r w:rsidR="00285999" w:rsidRPr="00716AA5">
        <w:rPr>
          <w:color w:val="000000" w:themeColor="text1"/>
          <w:kern w:val="0"/>
        </w:rPr>
        <w:t xml:space="preserve">. </w:t>
      </w:r>
      <w:r w:rsidR="00285999">
        <w:rPr>
          <w:color w:val="000000" w:themeColor="text1"/>
          <w:kern w:val="0"/>
        </w:rPr>
        <w:t xml:space="preserve">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70FC33AD"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rsidR="00D42704">
        <w:rPr>
          <w:color w:val="000000" w:themeColor="text1"/>
          <w:kern w:val="0"/>
        </w:rPr>
        <w:t>: 5446-</w:t>
      </w:r>
      <w:r w:rsidR="00C643D4">
        <w:rPr>
          <w:color w:val="000000" w:themeColor="text1"/>
          <w:kern w:val="0"/>
        </w:rPr>
        <w:t>5455</w:t>
      </w:r>
      <w:r>
        <w:t xml:space="preserve"> </w:t>
      </w:r>
    </w:p>
    <w:p w14:paraId="18A0AB5E" w14:textId="260A3F6E"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rsidR="003E0A3F">
        <w:rPr>
          <w:color w:val="000000" w:themeColor="text1"/>
          <w:kern w:val="0"/>
        </w:rPr>
        <w:t>: 5610-</w:t>
      </w:r>
      <w:r w:rsidR="002538F9">
        <w:rPr>
          <w:color w:val="000000" w:themeColor="text1"/>
          <w:kern w:val="0"/>
        </w:rPr>
        <w:t>5617</w:t>
      </w:r>
      <w:r>
        <w:t xml:space="preserve"> </w:t>
      </w:r>
    </w:p>
    <w:p w14:paraId="66DB0458" w14:textId="22A2E125"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w:t>
      </w:r>
      <w:r w:rsidR="00716AA5">
        <w:rPr>
          <w:color w:val="000000" w:themeColor="text1"/>
          <w:kern w:val="0"/>
        </w:rPr>
        <w:t>-</w:t>
      </w:r>
      <w:r>
        <w:rPr>
          <w:color w:val="000000" w:themeColor="text1"/>
          <w:kern w:val="0"/>
        </w:rPr>
        <w:t>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EA1B616"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r w:rsidR="00625B2A">
        <w:rPr>
          <w:rFonts w:hint="eastAsia"/>
          <w:color w:val="000000" w:themeColor="text1"/>
          <w:kern w:val="0"/>
          <w:lang w:val="de-DE"/>
        </w:rPr>
        <w:t>电讯技术</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7279808F"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CC15FE" w:rsidRPr="00CC15FE">
        <w:t>49-59</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79C78CA0"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3492</w:t>
      </w:r>
      <w:r w:rsidR="001638F1">
        <w:t>-</w:t>
      </w:r>
      <w:r>
        <w:t xml:space="preserve">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56725F82"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2016: 3668</w:t>
      </w:r>
      <w:r w:rsidR="00424E2A">
        <w:t>-</w:t>
      </w:r>
      <w:r>
        <w:t xml:space="preserve">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91BF4C2"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Bagging predictors. Machine Learning, 1996, 24(2): 123</w:t>
      </w:r>
      <w:r w:rsidR="00A90E2F">
        <w:t>-</w:t>
      </w:r>
      <w:r>
        <w:t xml:space="preserve">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4BC6CFD9"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w:t>
      </w:r>
      <w:r w:rsidR="003F25CE">
        <w:rPr>
          <w:color w:val="000000" w:themeColor="text1"/>
        </w:rPr>
        <w:t>-</w:t>
      </w:r>
      <w:r>
        <w:rPr>
          <w:color w:val="000000" w:themeColor="text1"/>
        </w:rPr>
        <w:t>1338</w:t>
      </w:r>
      <w:r>
        <w:t xml:space="preserve"> </w:t>
      </w:r>
    </w:p>
    <w:p w14:paraId="716F1529" w14:textId="37A9B2D6"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rsidR="0024047B">
        <w:rPr>
          <w:color w:val="000000" w:themeColor="text1"/>
        </w:rPr>
        <w:t>: 1-2</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86F7" w14:textId="77777777" w:rsidR="00FC37B6" w:rsidRDefault="00FC37B6">
      <w:pPr>
        <w:spacing w:line="240" w:lineRule="auto"/>
      </w:pPr>
      <w:r>
        <w:separator/>
      </w:r>
    </w:p>
  </w:endnote>
  <w:endnote w:type="continuationSeparator" w:id="0">
    <w:p w14:paraId="5EC2BEB3" w14:textId="77777777" w:rsidR="00FC37B6" w:rsidRDefault="00FC3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D7EBA" w14:textId="77777777" w:rsidR="00FC37B6" w:rsidRDefault="00FC37B6">
      <w:r>
        <w:separator/>
      </w:r>
    </w:p>
  </w:footnote>
  <w:footnote w:type="continuationSeparator" w:id="0">
    <w:p w14:paraId="6C244A5A" w14:textId="77777777" w:rsidR="00FC37B6" w:rsidRDefault="00FC3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3D4"/>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32407</TotalTime>
  <Pages>67</Pages>
  <Words>10097</Words>
  <Characters>57558</Characters>
  <Application>Microsoft Office Word</Application>
  <DocSecurity>0</DocSecurity>
  <Lines>479</Lines>
  <Paragraphs>135</Paragraphs>
  <ScaleCrop>false</ScaleCrop>
  <Company>Microsoft China</Company>
  <LinksUpToDate>false</LinksUpToDate>
  <CharactersWithSpaces>67520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18495</cp:revision>
  <cp:lastPrinted>2022-04-18T03:25:00Z</cp:lastPrinted>
  <dcterms:created xsi:type="dcterms:W3CDTF">2021-04-28T03:56:00Z</dcterms:created>
  <dcterms:modified xsi:type="dcterms:W3CDTF">2022-06-02T13:44:00Z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