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tblW w:w="0" w:type="auto"/>
        <w:tblLayout w:type="autofit"/>
        <w:bidiVisual w:val="0"/>
      </w:tblPr>
      <w:tr>
        <w:trPr/>
        <w:tc>
          <w:tcPr/>
          <w:p>
            <w:pPr/>
            <w:r>
              <w:rPr/>
              <w:t xml:space="preserve">A lattention de la societé:</w:t>
            </w:r>
          </w:p>
        </w:tc>
        <w:tc>
          <w:tcPr/>
          <w:p>
            <w:pPr/>
            <w:r>
              <w:rPr>
                <w:sz w:val="45"/>
                <w:szCs w:val="45"/>
                <w:b w:val="1"/>
                <w:bCs w:val="1"/>
              </w:rPr>
              <w:t xml:space="preserve">Orange </w:t>
            </w:r>
          </w:p>
        </w:tc>
      </w:tr>
      <w:tr>
        <w:trPr/>
        <w:tc>
          <w:tcPr/>
          <w:p>
            <w:pPr/>
          </w:p>
        </w:tc>
        <w:tc>
          <w:tcPr/>
          <w:p>
            <w:pPr/>
            <w:r>
              <w:rPr>
                <w:sz w:val="45"/>
                <w:szCs w:val="45"/>
                <w:b w:val="1"/>
                <w:bCs w:val="1"/>
              </w:rPr>
              <w:t xml:space="preserve">Sylvain CORBION </w:t>
            </w:r>
          </w:p>
        </w:tc>
      </w:tr>
    </w:tbl>
    <w:p/>
    <w:p/>
    <w:p/>
    <w:p/>
    <w:p>
      <w:pPr>
        <w:jc w:val="center"/>
      </w:pPr>
      <w:r>
        <w:rPr>
          <w:sz w:val="45"/>
          <w:szCs w:val="45"/>
          <w:b w:val="1"/>
          <w:bCs w:val="1"/>
        </w:rPr>
        <w:t xml:space="preserve">Proposition Technique et Commerciale</w:t>
      </w:r>
    </w:p>
    <w:p>
      <w:pPr>
        <w:jc w:val="center"/>
      </w:pPr>
      <w:r>
        <w:rPr>
          <w:sz w:val="45"/>
          <w:szCs w:val="45"/>
          <w:b w:val="1"/>
          <w:bCs w:val="1"/>
        </w:rPr>
        <w:t xml:space="preserve">Parsifal </w:t>
      </w:r>
    </w:p>
    <w:p/>
    <w:p/>
    <w:p/>
    <w:p/>
    <w:tbl>
      <w:tblGrid>
        <w:gridCol/>
        <w:gridCol/>
        <w:gridCol/>
        <w:gridCol/>
      </w:tblGrid>
      <w:tblPr>
        <w:jc w:val="center"/>
        <w:tblW w:w="5000" w:type="pct"/>
        <w:tblLayout w:type="autofit"/>
        <w:bidiVisual w:val="0"/>
      </w:tblPr>
      <w:tr>
        <w:trPr/>
        <w:tc>
          <w:tcPr/>
          <w:p>
            <w:pPr>
              <w:jc w:val="center"/>
            </w:pPr>
            <w:r>
              <w:rPr>
                <w:b w:val="1"/>
                <w:bCs w:val="1"/>
              </w:rPr>
              <w:t xml:space="preserve">Rédaction</w:t>
            </w:r>
          </w:p>
        </w:tc>
        <w:tc>
          <w:tcPr/>
          <w:p>
            <w:pPr>
              <w:jc w:val="center"/>
            </w:pPr>
            <w:r>
              <w:rPr/>
              <w:t xml:space="preserve"> Name1 bbbb</w:t>
            </w:r>
          </w:p>
        </w:tc>
        <w:tc>
          <w:tcPr/>
          <w:p>
            <w:pPr>
              <w:jc w:val="center"/>
            </w:pPr>
            <w:r>
              <w:rPr/>
              <w:t xml:space="preserve"> directeur agence  </w:t>
            </w:r>
          </w:p>
        </w:tc>
        <w:tc>
          <w:tcPr/>
          <w:p>
            <w:pPr>
              <w:jc w:val="center"/>
            </w:pPr>
            <w:r>
              <w:rPr/>
              <w:t xml:space="preserve"> directeur@test.fr    </w:t>
            </w:r>
            <w:br/>
            <w:r>
              <w:rPr/>
              <w:t xml:space="preserve">  0600000000  </w:t>
            </w:r>
          </w:p>
        </w:tc>
      </w:tr>
    </w:tbl>
    <w:p/>
    <w:p/>
    <w:p/>
    <w:p/>
    <w:p/>
    <w:tbl>
      <w:tblGrid>
        <w:gridCol/>
        <w:gridCol/>
      </w:tblGrid>
      <w:tblPr>
        <w:tblW w:w="5000" w:type="pct"/>
        <w:tblLayout w:type="autofit"/>
        <w:bidiVisual w:val="0"/>
      </w:tblPr>
      <w:tr>
        <w:trPr/>
        <w:tc>
          <w:tcPr/>
          <w:p>
            <w:pPr/>
            <w:r>
              <w:rPr>
                <w:b w:val="1"/>
                <w:bCs w:val="1"/>
              </w:rPr>
              <w:t xml:space="preserve">Groupe Astek </w:t>
            </w:r>
          </w:p>
          <w:p/>
          <w:p>
            <w:pPr/>
            <w:r>
              <w:rPr/>
              <w:t xml:space="preserve">Les Patios, Bâtiment D </w:t>
            </w:r>
            <w:br/>
            <w:r>
              <w:rPr/>
              <w:t xml:space="preserve">77-81ter, rue Marcel Dassault </w:t>
            </w:r>
            <w:br/>
            <w:r>
              <w:rPr/>
              <w:t xml:space="preserve">92100 Boulogne Billancourt  </w:t>
            </w:r>
          </w:p>
        </w:tc>
        <w:tc>
          <w:tcPr/>
          <w:tbl>
            <w:tblGrid>
              <w:gridCol/>
              <w:gridCol/>
            </w:tblGrid>
            <w:tblPr>
              <w:tblW w:w="5000" w:type="pct"/>
              <w:tblLayout w:type="autofit"/>
              <w:bidiVisual w:val="0"/>
            </w:tblPr>
            <w:tr>
              <w:trPr/>
              <w:tc>
                <w:tcPr/>
                <w:p>
                  <w:pPr/>
                  <w:r>
                    <w:rPr>
                      <w:b w:val="1"/>
                      <w:bCs w:val="1"/>
                    </w:rPr>
                    <w:t xml:space="preserve">Référence :</w:t>
                  </w:r>
                </w:p>
              </w:tc>
              <w:tc>
                <w:tcPr/>
                <w:p>
                  <w:pPr/>
                  <w:r>
                    <w:rPr/>
                    <w:t xml:space="preserve"> RefTestingABC485 </w:t>
                  </w:r>
                </w:p>
              </w:tc>
            </w:tr>
            <w:tr>
              <w:trPr/>
              <w:tc>
                <w:tcPr/>
                <w:p>
                  <w:pPr/>
                  <w:r>
                    <w:rPr>
                      <w:b w:val="1"/>
                      <w:bCs w:val="1"/>
                    </w:rPr>
                    <w:t xml:space="preserve">Date :</w:t>
                  </w:r>
                </w:p>
              </w:tc>
              <w:tc>
                <w:tcPr/>
                <w:p>
                  <w:pPr/>
                  <w:r>
                    <w:rPr/>
                    <w:t xml:space="preserve"> 2020-01-02 </w:t>
                  </w:r>
                </w:p>
              </w:tc>
            </w:tr>
            <w:tr>
              <w:trPr/>
              <w:tc>
                <w:tcPr/>
                <w:p>
                  <w:pPr/>
                  <w:r>
                    <w:rPr>
                      <w:b w:val="1"/>
                      <w:bCs w:val="1"/>
                    </w:rPr>
                    <w:t xml:space="preserve">Version :</w:t>
                  </w:r>
                </w:p>
              </w:tc>
              <w:tc>
                <w:tcPr/>
                <w:p>
                  <w:pPr/>
                  <w:r>
                    <w:rPr/>
                    <w:t xml:space="preserve">1.1</w:t>
                  </w:r>
                </w:p>
              </w:tc>
            </w:tr>
            <w:tr>
              <w:trPr/>
              <w:tc>
                <w:tcPr/>
                <w:p>
                  <w:pPr/>
                  <w:r>
                    <w:rPr>
                      <w:b w:val="1"/>
                      <w:bCs w:val="1"/>
                    </w:rPr>
                    <w:t xml:space="preserve">Confidentialité  :</w:t>
                  </w:r>
                </w:p>
              </w:tc>
              <w:tc>
                <w:tcPr/>
                <w:p>
                  <w:pPr/>
                  <w:r>
                    <w:rPr/>
                    <w:t xml:space="preserve">CONFIDENTIEL </w:t>
                  </w:r>
                </w:p>
              </w:tc>
            </w:tr>
            <w:tr>
              <w:trPr/>
              <w:tc>
                <w:tcPr/>
                <w:p>
                  <w:pPr/>
                  <w:r>
                    <w:rPr>
                      <w:b w:val="1"/>
                      <w:bCs w:val="1"/>
                    </w:rPr>
                    <w:t xml:space="preserve">Nombre de pages :</w:t>
                  </w:r>
                </w:p>
              </w:tc>
              <w:tc>
                <w:tcPr/>
                <w:p>
                  <w:pPr/>
                  <w:r>
                    <w:rPr/>
                    <w:t xml:space="preserve">X</w:t>
                  </w:r>
                </w:p>
              </w:tc>
            </w:tr>
          </w:tbl>
          <w:p/>
        </w:tc>
      </w:tr>
    </w:tbl>
    <w:p/>
    <w:p>
      <w:pPr>
        <w:jc w:val="center"/>
      </w:pPr>
      <w:r>
        <w:rPr/>
        <w:t xml:space="preserve">Les informations contenues dans ce document sont strictement confidentielles et ne peuvent être reproduites sans l’accord préalable d’Astek</w:t>
      </w:r>
    </w:p>
    <w:p>
      <w:pPr>
        <w:pStyle w:val="Heading1"/>
      </w:pPr>
      <w:r>
        <w:rPr>
          <w:rFonts w:ascii="Calibri" w:hAnsi="Calibri" w:eastAsia="Calibri" w:cs="Calibri"/>
          <w:color w:val="white"/>
          <w:sz w:val="45"/>
          <w:szCs w:val="45"/>
          <w:shd w:val="clear" w:fill="8FBC13"/>
        </w:rPr>
        <w:t xml:space="preserve"> 1  CONDITIONS DE REALISATION DE LA PRESTATION  </w:t>
      </w:r>
    </w:p>
    <w:p>
      <w:pPr/>
      <w:r>
        <w:rPr/>
        <w:t xml:space="preserve">                        Cette  Proposition  Technique  et Commerciale  d’Astek    est établie  en  réponse  au  document  Orange  intitulé « CdC_S1-2018-expertise technique-v1 0 »                         et a pour but de définir les conditions et modalités de l’intervention d’Astek.                     </w:t>
      </w:r>
    </w:p>
    <w:p>
      <w:pPr>
        <w:pStyle w:val="Heading2"/>
      </w:pPr>
      <w:r>
        <w:rPr>
          <w:rFonts w:ascii="Calibri" w:hAnsi="Calibri" w:eastAsia="Calibri" w:cs="Calibri"/>
          <w:color w:val="8FBC13"/>
          <w:sz w:val="37.5"/>
          <w:szCs w:val="37.5"/>
        </w:rPr>
        <w:t xml:space="preserve"> 1.1  Définition de la prestation </w:t>
      </w:r>
    </w:p>
    <w:p>
      <w:pPr/>
      <w:r>
        <w:rPr/>
        <w:t xml:space="preserve">Dans le cadre du projet Parsifal, la prestation réalisée par Astek consiste à : </w:t>
      </w:r>
    </w:p>
    <w:p>
      <w:pPr>
        <w:numPr>
          <w:ilvl w:val="0"/>
          <w:numId w:val="1"/>
        </w:numPr>
      </w:pPr>
      <w:r>
        <w:rPr>
          <w:rFonts w:ascii="Calibri" w:hAnsi="Calibri" w:eastAsia="Calibri" w:cs="Calibri"/>
          <w:color w:val="8FBC13"/>
          <w:sz w:val="30"/>
          <w:szCs w:val="30"/>
        </w:rPr>
        <w:t xml:space="preserve">Tâche 1: Expertise technique  </w:t>
      </w:r>
      <w:br/>
      <w:r>
        <w:rPr/>
        <w:t xml:space="preserve">Participation au murissement des solutions techniques</w:t>
      </w:r>
      <w:br/>
      <w:r>
        <w:rPr/>
        <w:t xml:space="preserve">Rédaction des paragraphes techniques dans les dossiers de conception</w:t>
      </w:r>
      <w:br/>
      <w:r>
        <w:rPr/>
        <w:t xml:space="preserve">Rédaction des spécifications techniques</w:t>
      </w:r>
      <w:br/>
      <w:r>
        <w:rPr/>
        <w:t xml:space="preserve">Coordination des activités techniques des versions de projet au côté du chef de projet</w:t>
      </w:r>
      <w:br/>
    </w:p>
    <w:p>
      <w:pPr>
        <w:numPr>
          <w:ilvl w:val="0"/>
          <w:numId w:val="1"/>
        </w:numPr>
      </w:pPr>
      <w:r>
        <w:rPr>
          <w:rFonts w:ascii="Calibri" w:hAnsi="Calibri" w:eastAsia="Calibri" w:cs="Calibri"/>
          <w:color w:val="8FBC13"/>
          <w:sz w:val="30"/>
          <w:szCs w:val="30"/>
        </w:rPr>
        <w:t xml:space="preserve">Tâche 2: Expertise metier  </w:t>
      </w:r>
      <w:br/>
      <w:r>
        <w:rPr/>
        <w:t xml:space="preserve">Participation au suivi MPS sur le volet technique</w:t>
      </w:r>
      <w:br/>
      <w:r>
        <w:rPr/>
        <w:t xml:space="preserve">Analyse des dysfonctionnements techniques</w:t>
      </w:r>
      <w:br/>
      <w:r>
        <w:rPr/>
        <w:t xml:space="preserve">Contribution au contrôle de la métrologie</w:t>
      </w:r>
      <w:br/>
    </w:p>
    <w:p>
      <w:pPr>
        <w:numPr>
          <w:ilvl w:val="0"/>
          <w:numId w:val="1"/>
        </w:numPr>
      </w:pPr>
      <w:r>
        <w:rPr>
          <w:rFonts w:ascii="Calibri" w:hAnsi="Calibri" w:eastAsia="Calibri" w:cs="Calibri"/>
          <w:color w:val="8FBC13"/>
          <w:sz w:val="30"/>
          <w:szCs w:val="30"/>
        </w:rPr>
        <w:t xml:space="preserve">Tâche 3: Participer à la rénovation de Parsifal  </w:t>
      </w:r>
      <w:br/>
      <w:r>
        <w:rPr/>
        <w:t xml:space="preserve">Respect des exigences techniques liées à la refonte</w:t>
      </w:r>
      <w:br/>
      <w:r>
        <w:rPr/>
        <w:t xml:space="preserve">Rôle transverse d’alerte et de conseil sur la transformation Parsifal</w:t>
      </w:r>
      <w:br/>
      <w:r>
        <w:rPr/>
        <w:t xml:space="preserve">Déploiement des versions COSMOS</w:t>
      </w:r>
      <w:br/>
    </w:p>
    <w:p>
      <w:pPr>
        <w:pStyle w:val="Heading2"/>
      </w:pPr>
      <w:r>
        <w:rPr>
          <w:rFonts w:ascii="Calibri" w:hAnsi="Calibri" w:eastAsia="Calibri" w:cs="Calibri"/>
          <w:color w:val="8FBC13"/>
          <w:sz w:val="37.5"/>
          <w:szCs w:val="37.5"/>
        </w:rPr>
        <w:t xml:space="preserve"> 1.2  Moyens matériels  </w:t>
      </w:r>
    </w:p>
    <w:p>
      <w:pPr/>
      <w:r>
        <w:rPr/>
        <w:t xml:space="preserve">ORANGE mettra à disposition de l’équipe Astek en charge du projet les moyens matériels et informatiques nécessaires à son bon déroulement.</w:t>
      </w:r>
    </w:p>
    <w:p>
      <w:pPr>
        <w:pStyle w:val="Heading2"/>
      </w:pPr>
      <w:r>
        <w:rPr>
          <w:rFonts w:ascii="Calibri" w:hAnsi="Calibri" w:eastAsia="Calibri" w:cs="Calibri"/>
          <w:color w:val="8FBC13"/>
          <w:sz w:val="37.5"/>
          <w:szCs w:val="37.5"/>
        </w:rPr>
        <w:t xml:space="preserve"> 1.3  Suivi de la prestation  </w:t>
      </w:r>
    </w:p>
    <w:p>
      <w:pPr/>
      <w:r>
        <w:rPr/>
        <w:t xml:space="preserve">Afin de s’assurer du bon déroulement de la prestation réalisée par Astek, des réunions de suivi de prjet auront lieu une fois par trimestre en présence du responsable désigné par ORANGE et de l’équipe Astek en charge de cette prestation.                     </w:t>
      </w:r>
      <w:br/>
      <w:r>
        <w:rPr/>
        <w:t xml:space="preserve">La fréquence pourra être modulée à la demande de l’une ou l’autre des parties.                     </w:t>
      </w:r>
      <w:br/>
      <w:r>
        <w:rPr/>
        <w:t xml:space="preserve">Un compte rendu de cette réunion sera établi par Astek.                    </w:t>
      </w:r>
    </w:p>
    <w:p>
      <w:pPr>
        <w:pStyle w:val="Heading1"/>
      </w:pPr>
      <w:r>
        <w:rPr>
          <w:rFonts w:ascii="Calibri" w:hAnsi="Calibri" w:eastAsia="Calibri" w:cs="Calibri"/>
          <w:color w:val="white"/>
          <w:sz w:val="45"/>
          <w:szCs w:val="45"/>
          <w:shd w:val="clear" w:fill="8FBC13"/>
        </w:rPr>
        <w:t xml:space="preserve"> 2  DATES ET DUREE DE LA PRESTATION   </w:t>
      </w:r>
    </w:p>
    <w:p>
      <w:pPr/>
      <w:r>
        <w:rPr/>
        <w:t xml:space="preserve">Les principales dates du calendrier de réalisation de la prestation :</w:t>
      </w:r>
    </w:p>
    <w:p>
      <w:pPr>
        <w:numPr>
          <w:ilvl w:val="0"/>
          <w:numId w:val="2"/>
        </w:numPr>
      </w:pPr>
      <w:r>
        <w:rPr/>
        <w:t xml:space="preserve">Date de démarrage des travaux : 2020-01-02 </w:t>
      </w:r>
    </w:p>
    <w:p>
      <w:pPr>
        <w:numPr>
          <w:ilvl w:val="0"/>
          <w:numId w:val="2"/>
        </w:numPr>
      </w:pPr>
      <w:r>
        <w:rPr/>
        <w:t xml:space="preserve">Date de fin des travaux : 2020-12-31 </w:t>
      </w:r>
    </w:p>
    <w:p>
      <w:pPr/>
      <w:r>
        <w:rPr/>
        <w:t xml:space="preserve">La prestation durera 255 jours ouvrés.</w:t>
      </w:r>
    </w:p>
    <w:p>
      <w:pPr/>
      <w:r>
        <w:rPr/>
        <w:t xml:space="preserve">La prestation pourra être prolongée selon les nécessités du projet, et fera l’objet dans ce cas de l’établissement d’un avenant.</w:t>
      </w:r>
    </w:p>
    <w:p>
      <w:pPr/>
      <w:r>
        <w:rPr/>
        <w:t xml:space="preserve">ORANGE s’engage à informer Astek au minimum 3 semaines avant la fin de la prestation. </w:t>
      </w:r>
    </w:p>
    <w:p>
      <w:pPr/>
      <w:r>
        <w:rPr/>
        <w:t xml:space="preserve">ORANGE pourra résilier le contrat régissant cette prestation, en respectant un préavis de 1 mois débutant à la réception par Astek d’un courrier recommandé avec accusé de réception notifiant la fin de prestation.</w:t>
      </w:r>
    </w:p>
    <w:p/>
    <w:p>
      <w:pPr>
        <w:pStyle w:val="Heading1"/>
      </w:pPr>
      <w:r>
        <w:rPr>
          <w:rFonts w:ascii="Calibri" w:hAnsi="Calibri" w:eastAsia="Calibri" w:cs="Calibri"/>
          <w:color w:val="white"/>
          <w:sz w:val="45"/>
          <w:szCs w:val="45"/>
          <w:shd w:val="clear" w:fill="8FBC13"/>
        </w:rPr>
        <w:t xml:space="preserve"> 3  LIEU D’EXECUTION   </w:t>
      </w:r>
    </w:p>
    <w:p>
      <w:pPr/>
      <w:r>
        <w:rPr/>
        <w:t xml:space="preserve">Du fait de l’utilisation de moyens spécifiques, la prestation sera réalisée dans les locaux de ORANGE situés :</w:t>
      </w:r>
    </w:p>
    <w:p>
      <w:pPr>
        <w:jc w:val="center"/>
      </w:pPr>
      <w:r>
        <w:rPr/>
        <w:t xml:space="preserve"> ARCUEIL Lénine </w:t>
      </w:r>
    </w:p>
    <w:p>
      <w:pPr/>
      <w:r>
        <w:rPr/>
        <w:t xml:space="preserve">Les ressources affectées par Astek devront respecter les règles de sécurité de ORANGE.</w:t>
      </w:r>
    </w:p>
    <w:p>
      <w:pPr>
        <w:pStyle w:val="Heading1"/>
      </w:pPr>
      <w:r>
        <w:rPr>
          <w:rFonts w:ascii="Calibri" w:hAnsi="Calibri" w:eastAsia="Calibri" w:cs="Calibri"/>
          <w:color w:val="white"/>
          <w:sz w:val="45"/>
          <w:szCs w:val="45"/>
          <w:shd w:val="clear" w:fill="8FBC13"/>
        </w:rPr>
        <w:t xml:space="preserve"> 4  PROPOSITION FINANCIERE    </w:t>
      </w:r>
    </w:p>
    <w:p>
      <w:pPr>
        <w:pStyle w:val="Heading2"/>
      </w:pPr>
      <w:r>
        <w:rPr>
          <w:rFonts w:ascii="Calibri" w:hAnsi="Calibri" w:eastAsia="Calibri" w:cs="Calibri"/>
          <w:color w:val="8FBC13"/>
          <w:sz w:val="37.5"/>
          <w:szCs w:val="37.5"/>
        </w:rPr>
        <w:t xml:space="preserve"> 4.1  Montant de la prestation  </w:t>
      </w:r>
    </w:p>
    <w:p>
      <w:pPr/>
      <w:r>
        <w:rPr/>
        <w:t xml:space="preserve">Pour une charge prévisionnelle de 255 jours ouvrés, le budget prévisionnel s’élève à 105000 € HT :</w:t>
      </w:r>
    </w:p>
    <w:p>
      <w:pPr>
        <w:numPr>
          <w:ilvl w:val="0"/>
          <w:numId w:val="3"/>
        </w:numPr>
      </w:pPr>
      <w:r>
        <w:rPr>
          <w:b w:val="1"/>
          <w:bCs w:val="1"/>
        </w:rPr>
        <w:t xml:space="preserve">TJM contrat cadre profile 06 : 350 € HT </w:t>
      </w:r>
    </w:p>
    <w:p>
      <w:pPr>
        <w:numPr>
          <w:ilvl w:val="0"/>
          <w:numId w:val="3"/>
        </w:numPr>
      </w:pPr>
      <w:r>
        <w:rPr>
          <w:b w:val="1"/>
          <w:bCs w:val="1"/>
        </w:rPr>
        <w:t xml:space="preserve">TJM proposé : 420 € HT</w:t>
      </w:r>
    </w:p>
    <w:p>
      <w:pPr>
        <w:numPr>
          <w:ilvl w:val="0"/>
          <w:numId w:val="3"/>
        </w:numPr>
      </w:pPr>
      <w:r>
        <w:rPr>
          <w:b w:val="1"/>
          <w:bCs w:val="1"/>
        </w:rPr>
        <w:t xml:space="preserve">Nombre jours gratuit :  5  Jours</w:t>
      </w:r>
    </w:p>
    <w:p>
      <w:pPr>
        <w:pStyle w:val="Heading2"/>
      </w:pPr>
      <w:r>
        <w:rPr>
          <w:rFonts w:ascii="Calibri" w:hAnsi="Calibri" w:eastAsia="Calibri" w:cs="Calibri"/>
          <w:color w:val="8FBC13"/>
          <w:sz w:val="37.5"/>
          <w:szCs w:val="37.5"/>
        </w:rPr>
        <w:t xml:space="preserve"> 4.2  Frais de déplacement   </w:t>
      </w:r>
    </w:p>
    <w:p>
      <w:pPr/>
      <w:r>
        <w:rPr/>
        <w:t xml:space="preserve">Les coûts de transports vers le site de ORANGE tel que défini §3 page 3 sont pris en charge par Astek.</w:t>
      </w:r>
    </w:p>
    <w:p>
      <w:pPr/>
      <w:r>
        <w:rPr/>
        <w:t xml:space="preserve">Tous les frais complémentaires engagés à la demande de ORANGE seront facturés par Astek sur présentation des justificatifs</w:t>
      </w:r>
    </w:p>
    <w:p>
      <w:pPr>
        <w:pStyle w:val="Heading2"/>
      </w:pPr>
      <w:r>
        <w:rPr>
          <w:rFonts w:ascii="Calibri" w:hAnsi="Calibri" w:eastAsia="Calibri" w:cs="Calibri"/>
          <w:color w:val="8FBC13"/>
          <w:sz w:val="37.5"/>
          <w:szCs w:val="37.5"/>
        </w:rPr>
        <w:t xml:space="preserve"> 4.3  Envoi de la commande   </w:t>
      </w:r>
    </w:p>
    <w:p>
      <w:pPr/>
      <w:r>
        <w:rPr/>
        <w:t xml:space="preserve">La commande est à adresser à : Astek Boulogne-Billancourt</w:t>
      </w:r>
    </w:p>
    <w:p>
      <w:pPr>
        <w:pStyle w:val="Heading1"/>
      </w:pPr>
      <w:r>
        <w:rPr>
          <w:rFonts w:ascii="Calibri" w:hAnsi="Calibri" w:eastAsia="Calibri" w:cs="Calibri"/>
          <w:color w:val="white"/>
          <w:sz w:val="45"/>
          <w:szCs w:val="45"/>
          <w:shd w:val="clear" w:fill="8FBC13"/>
        </w:rPr>
        <w:t xml:space="preserve"> 5  VALIDITE DE L’OFFRE   </w:t>
      </w:r>
    </w:p>
    <w:p>
      <w:pPr/>
      <w:r>
        <w:rPr/>
        <w:t xml:space="preserve">La présente offre est valable 2 semaines à compter de sa date d’envoi.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8DF670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B78B73F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832BBC1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2020-01-02T12:26:44+00:00</dcterms:created>
  <dcterms:modified xsi:type="dcterms:W3CDTF">2020-01-02T12:26:44+00:00</dcterms:modified>
</cp:coreProperties>
</file>

<file path=docProps/custom.xml><?xml version="1.0" encoding="utf-8"?>
<Properties xmlns="http://schemas.openxmlformats.org/officeDocument/2006/custom-properties" xmlns:vt="http://schemas.openxmlformats.org/officeDocument/2006/docPropsVTypes"/>
</file>