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color w:val="222222"/>
        </w:rPr>
        <w:t xml:space="preserve">Kingdom 数据同步日志内部核查说明</w:t>
      </w:r>
    </w:p>
    <w:p>
      <w:pPr>
        <w:pStyle w:val="Subtitle"/>
      </w:pPr>
      <w:r>
        <w:rPr>
          <w:b/>
          <w:color w:val="A33A3A"/>
        </w:rPr>
        <w:t xml:space="preserve">内部资料，不对外发送</w:t>
      </w:r>
    </w:p>
    <w:tbl>
      <w:tblPr>
        <w:tblW w:w="5000" w:type="pct"/>
        <w:tblBorders>
          <w:left w:val="single" w:sz="28" w:color="D78B22"/>
        </w:tblBorders>
        <w:tblCellMar>
          <w:top w:w="150" w:type="dxa"/>
          <w:left w:w="180" w:type="dxa"/>
          <w:bottom w:w="150" w:type="dxa"/>
          <w:right w:w="180" w:type="dxa"/>
        </w:tblCellMar>
      </w:tblPr>
      <w:tblGrid>
        <w:gridCol w:w="9000"/>
      </w:tblGrid>
      <w:tr>
        <w:tc>
          <w:tcPr>
            <w:shd w:val="clear" w:fill="FFF4E5"/>
          </w:tcPr>
          <w:p>
            <w:r>
              <w:rPr>
                <w:b/>
              </w:rPr>
              <w:t xml:space="preserve">本说明记录与性能结论无直接关系、但在对外表述和数据验收前需要确认的事项。甲方版报告未包含以下内部信息。</w:t>
            </w:r>
          </w:p>
        </w:tc>
      </w:tr>
    </w:tbl>
    <w:p>
      <w:pPr>
        <w:pStyle w:val="Heading1"/>
      </w:pPr>
      <w:r>
        <w:rPr>
          <w:color w:val="222222"/>
        </w:rPr>
        <w:t xml:space="preserve">一、接口业务返回值</w:t>
      </w:r>
    </w:p>
    <w:p>
      <w:pPr>
        <w:pStyle w:val="Normal"/>
      </w:pPr>
      <w:r>
        <w:rPr>
          <w:color w:val="222222"/>
        </w:rPr>
        <w:t xml:space="preserve">同步任务最终状态为 Succeeded，同步期间也未发现 HTTP 请求异常。但部分接口响应中的业务级 failed 字段不为零。</w:t>
      </w:r>
    </w:p>
    <w:tbl>
      <w:tblPr>
        <w:tblW w:w="0" w:type="auto"/>
        <w:tblBorders>
          <w:top w:val="single" w:sz="6" w:color="B8C5CF"/>
          <w:left w:val="single" w:sz="6" w:color="B8C5CF"/>
          <w:bottom w:val="single" w:sz="6" w:color="B8C5CF"/>
          <w:right w:val="single" w:sz="6" w:color="B8C5CF"/>
          <w:insideH w:val="single" w:sz="6" w:color="B8C5CF"/>
          <w:insideV w:val="single" w:sz="6" w:color="B8C5CF"/>
        </w:tblBorders>
        <w:tblLayout w:type="fixed"/>
        <w:tblCellMar>
          <w:top w:w="100" w:type="dxa"/>
          <w:left w:w="90" w:type="dxa"/>
          <w:bottom w:w="100" w:type="dxa"/>
          <w:right w:w="90" w:type="dxa"/>
        </w:tblCellMar>
      </w:tblPr>
      <w:tblGrid>
        <w:gridCol w:w="2600"/>
        <w:gridCol w:w="2400"/>
        <w:gridCol w:w="3100"/>
      </w:tblGrid>
      <w:tr>
        <w:tc>
          <w:tcPr>
            <w:tcW w:w="2600" w:type="dxa"/>
            <w:shd w:val="clear" w:fill="315D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  <w:szCs w:val="19"/>
              </w:rPr>
              <w:t>数据类型</w:t>
            </w:r>
          </w:p>
        </w:tc>
        <w:tc>
          <w:tcPr>
            <w:tcW w:w="2400" w:type="dxa"/>
            <w:shd w:val="clear" w:fill="315D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  <w:szCs w:val="19"/>
              </w:rPr>
              <w:t>提交数量</w:t>
            </w:r>
          </w:p>
        </w:tc>
        <w:tc>
          <w:tcPr>
            <w:tcW w:w="3100" w:type="dxa"/>
            <w:shd w:val="clear" w:fill="315D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  <w:szCs w:val="19"/>
              </w:rPr>
              <w:t>日志中 failed 累计值</w:t>
            </w:r>
          </w:p>
        </w:tc>
      </w:tr>
      <w:tr>
        <w:tc>
          <w:tcPr>
            <w:tcW w:w="2600" w:type="dxa"/>
            <w:shd w:val="clear" w:fill="FFFFFF"/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井轨迹</w:t>
            </w:r>
          </w:p>
        </w:tc>
        <w:tc>
          <w:tcPr>
            <w:tcW w:w="2400" w:type="dxa"/>
            <w:shd w:val="clear" w:fill="FFFFFF"/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6,975 条</w:t>
            </w:r>
          </w:p>
        </w:tc>
        <w:tc>
          <w:tcPr>
            <w:tcW w:w="3100" w:type="dxa"/>
            <w:shd w:val="clear" w:fill="FFFFFF"/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约 3,092</w:t>
            </w:r>
          </w:p>
        </w:tc>
      </w:tr>
      <w:tr>
        <w:tc>
          <w:tcPr>
            <w:tcW w:w="2600" w:type="dxa"/>
            <w:shd w:val="clear" w:fill="F5F7F8"/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测井曲线</w:t>
            </w:r>
          </w:p>
        </w:tc>
        <w:tc>
          <w:tcPr>
            <w:tcW w:w="2400" w:type="dxa"/>
            <w:shd w:val="clear" w:fill="F5F7F8"/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74,353 条</w:t>
            </w:r>
          </w:p>
        </w:tc>
        <w:tc>
          <w:tcPr>
            <w:tcW w:w="3100" w:type="dxa"/>
            <w:shd w:val="clear" w:fill="F5F7F8"/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23</w:t>
            </w:r>
          </w:p>
        </w:tc>
      </w:tr>
    </w:tbl>
    <w:p>
      <w:pPr>
        <w:pStyle w:val="Normal"/>
      </w:pPr>
      <w:r>
        <w:rPr>
          <w:color w:val="222222"/>
        </w:rPr>
        <w:t xml:space="preserve">当前程序在收到非空响应后，按提交数量累计 uploaded/synced 数量，最终任务状态也不会因上述汇总字段自动变为失败。因此，Succeeded 表示同步流程完成且没有致命异常，暂不能据此断言每条数据均已成功落库。</w:t>
      </w:r>
    </w:p>
    <w:p>
      <w:pPr>
        <w:pStyle w:val="Normal"/>
      </w:pPr>
      <w:r>
        <w:rPr>
          <w:color w:val="222222"/>
        </w:rPr>
        <w:t xml:space="preserve">建议与服务端确认 failed 字段的业务语义，并通过服务端数据量或抽样查询完成落库核验。在确认前，对外表述宜使用“任务正常完成、未发生 HTTP 异常”，避免使用“全部数据成功落库”。</w:t>
      </w:r>
    </w:p>
    <w:p>
      <w:pPr>
        <w:pStyle w:val="Heading1"/>
      </w:pPr>
      <w:r>
        <w:rPr>
          <w:color w:val="222222"/>
        </w:rPr>
        <w:t xml:space="preserve">二、同步结束后的无关异常</w:t>
      </w:r>
    </w:p>
    <w:p>
      <w:pPr>
        <w:pStyle w:val="Normal"/>
      </w:pPr>
      <w:r>
        <w:rPr>
          <w:color w:val="222222"/>
        </w:rPr>
        <w:t xml:space="preserve">10:53:26 出现一次用户凭证接口 InternalServerError。该事件发生在本次同步于 10:41:09 结束约 12 分钟后，属于后续程序启动或登录事件，与本次同步耗时无关。</w:t>
      </w:r>
    </w:p>
    <w:p>
      <w:pPr>
        <w:pStyle w:val="Heading1"/>
      </w:pPr>
      <w:r>
        <w:rPr>
          <w:color w:val="222222"/>
        </w:rPr>
        <w:t xml:space="preserve">三、日志脱敏</w:t>
      </w:r>
    </w:p>
    <w:p>
      <w:pPr>
        <w:pStyle w:val="Normal"/>
      </w:pPr>
      <w:r>
        <w:rPr>
          <w:color w:val="222222"/>
        </w:rPr>
        <w:t xml:space="preserve">原始日志包含 Bearer Token、服务器地址、项目路径和井号等信息。不得直接将原始日志发送给外部人员。如确需提供日志证据，应至少脱敏以下内容：</w:t>
      </w:r>
    </w:p>
    <w:p>
      <w:pPr>
        <w:pStyle w:val="ListParagraph"/>
      </w:pPr>
      <w:r>
        <w:rPr>
          <w:color w:val="222222"/>
        </w:rPr>
        <w:t xml:space="preserve">• Bearer Token、api-token 和会话信息；</w:t>
      </w:r>
    </w:p>
    <w:p>
      <w:pPr>
        <w:pStyle w:val="ListParagraph"/>
      </w:pPr>
      <w:r>
        <w:rPr>
          <w:color w:val="222222"/>
        </w:rPr>
        <w:t xml:space="preserve">• 服务器 IP、项目网络路径及本地安装路径；</w:t>
      </w:r>
    </w:p>
    <w:p>
      <w:pPr>
        <w:pStyle w:val="ListParagraph"/>
      </w:pPr>
      <w:r>
        <w:rPr>
          <w:color w:val="222222"/>
        </w:rPr>
        <w:t xml:space="preserve">• UWI、Borehole ID、用户名称等业务标识。</w:t>
      </w:r>
    </w:p>
    <w:sectPr>
      <w:pgSz w:w="11906" w:h="16838"/>
      <w:pgMar w:top="1247" w:right="1191" w:bottom="1247" w:left="119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  <w:color w:val="222222"/>
        <w:sz w:val="22"/>
        <w:szCs w:val="22"/>
      </w:rPr>
    </w:rPrDefault>
    <w:pPrDefault>
      <w:pPr>
        <w:spacing w:after="140" w:line="380" w:lineRule="auto"/>
        <w:jc w:val="both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Subtitle"/>
    <w:qFormat/>
    <w:pPr>
      <w:spacing w:before="720" w:after="120"/>
      <w:jc w:val="center"/>
    </w:pPr>
    <w:rPr>
      <w:b/>
      <w:color w:val="1F3B5B"/>
      <w:sz w:val="44"/>
      <w:szCs w:val="44"/>
    </w:rPr>
  </w:style>
  <w:style w:type="paragraph" w:styleId="Subtitle">
    <w:name w:val="Subtitle"/>
    <w:basedOn w:val="Normal"/>
    <w:qFormat/>
    <w:pPr>
      <w:spacing w:after="500"/>
      <w:jc w:val="center"/>
    </w:pPr>
    <w:rPr>
      <w:color w:val="666666"/>
      <w:sz w:val="21"/>
      <w:szCs w:val="21"/>
    </w:rPr>
  </w:style>
  <w:style w:type="paragraph" w:styleId="Heading1">
    <w:name w:val="heading 1"/>
    <w:basedOn w:val="Normal"/>
    <w:next w:val="Normal"/>
    <w:qFormat/>
    <w:pPr>
      <w:keepNext/>
      <w:pBdr>
        <w:bottom w:val="single" w:sz="10" w:color="4F789F" w:space="5"/>
      </w:pBdr>
      <w:spacing w:before="360" w:after="120"/>
    </w:pPr>
    <w:rPr>
      <w:b/>
      <w:color w:val="1F3B5B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20" w:after="80"/>
    </w:pPr>
    <w:rPr>
      <w:b/>
      <w:color w:val="2F5577"/>
      <w:sz w:val="24"/>
      <w:szCs w:val="24"/>
    </w:rPr>
  </w:style>
  <w:style w:type="paragraph" w:styleId="ListParagraph">
    <w:name w:val="List Paragraph"/>
    <w:basedOn w:val="Normal"/>
    <w:pPr>
      <w:spacing w:after="70"/>
      <w:ind w:left="420" w:hanging="240"/>
    </w:pPr>
  </w:style>
  <w:style w:type="paragraph" w:styleId="Footnote">
    <w:name w:val="Footnote"/>
    <w:basedOn w:val="Normal"/>
    <w:pPr>
      <w:pBdr>
        <w:top w:val="single" w:sz="4" w:color="BBBBBB" w:space="6"/>
      </w:pBdr>
      <w:spacing w:before="360"/>
    </w:pPr>
    <w:rPr>
      <w:color w:val="666666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Kingdom 数据同步日志内部核查说明</dc:title>
  <dc:subject>内部核查事项</dc:subject>
  <dc:creator>KindomDataAPIServer</dc:creator>
  <dcterms:created xsi:type="dcterms:W3CDTF">2026-08-05T03:13:41Z</dcterms:created>
  <dcterms:modified xsi:type="dcterms:W3CDTF">2026-08-05T03:13:41Z</dcterms:modified>
</cp:coreProperties>
</file>