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AMENDMENT NO. 1 TO MASTER SERVICES AGREEMENT</w:t>
      </w:r>
    </w:p>
    <w:p>
      <w:r>
        <w:t xml:space="preserve"/>
      </w:r>
    </w:p>
    <w:p>
      <w:r>
        <w:t xml:space="preserve">This Amendment No. 1 (this “Amendment”) is made as of January 15, 2025 between Northwind Analytics, Inc. (“Provider”) and Orion Freight Holdings, LLC (“Customer”), and amends the Master Services Agreement between the parties dated March 1, 2024 (the “Agreement”).</w:t>
      </w:r>
    </w:p>
    <w:p>
      <w:r>
        <w:t xml:space="preserve"/>
      </w:r>
    </w:p>
    <w:p>
      <w:r>
        <w:t xml:space="preserve">1. Amendment to Section 11.1. Section 11.1 of the Agreement is deleted in its entirety and replaced with the following: “Either party may terminate this Agreement for convenience upon one hundred twenty (120) days’ prior written notice. An individual SOW may be terminated for convenience only as expressly permitted by that SOW.”</w:t>
      </w:r>
    </w:p>
    <w:p>
      <w:r>
        <w:t xml:space="preserve"/>
      </w:r>
    </w:p>
    <w:p>
      <w:r>
        <w:t xml:space="preserve">2. Amendment to Section 12.1. The liability cap in Section 12.1 is increased from the fees paid during the preceding twelve (12) months to the greater of (a) such fees or (b) five hundred thousand dollars ($500,000).</w:t>
      </w:r>
    </w:p>
    <w:p>
      <w:r>
        <w:t xml:space="preserve"/>
      </w:r>
    </w:p>
    <w:p>
      <w:r>
        <w:t xml:space="preserve">3. Prepaid Balances. Section 11.3 is amended by adding the following sentence at the end: “Any refund of prepaid fees shall be paid within forty-five (45) days of the effective date of termination.”</w:t>
      </w:r>
    </w:p>
    <w:p>
      <w:r>
        <w:t xml:space="preserve"/>
      </w:r>
    </w:p>
    <w:p>
      <w:r>
        <w:t xml:space="preserve">4. No Other Changes. Except as expressly amended by this Amendment, the Agreement remains in full force and effect. In the event of a conflict between this Amendment and the Agreement, this Amendment controls.</w:t>
      </w:r>
    </w:p>
    <w:p>
      <w:r>
        <w:t xml:space="preserve"/>
      </w:r>
    </w:p>
    <w:p>
      <w:r>
        <w:t xml:space="preserve">AGREED AND ACCEPTED as of the date first written above.</w:t>
      </w:r>
    </w:p>
  </w:body>
</w:document>
</file>