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240"/>
      </w:pPr>
      <w:r>
        <w:t xml:space="preserve"/>
      </w:r>
    </w:p>
    <w:p>
      <w:pPr>
        <w:spacing w:after="80" w:before="0"/>
      </w:pPr>
      <w:r>
        <w:rPr>
          <w:rFonts w:ascii="Arial" w:cs="Arial" w:eastAsia="Arial" w:hAnsi="Arial"/>
          <w:b/>
          <w:bCs/>
          <w:caps/>
          <w:color w:val="76B900"/>
          <w:sz w:val="18"/>
          <w:szCs w:val="18"/>
        </w:rPr>
        <w:t xml:space="preserve">ARCHITECTURE DEEP DIVE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C1C1C"/>
          <w:sz w:val="44"/>
          <w:szCs w:val="44"/>
        </w:rPr>
        <w:t xml:space="preserve">Nemotron 3 Super: How NVIDIA’s Hybrid MoE Unlocks 1M-Token Agentic AI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Released March 2026 · </w:t>
      </w:r>
      <w:r>
        <w:rPr>
          <w:rFonts w:ascii="Georgia" w:cs="Georgia" w:eastAsia="Georgia" w:hAnsi="Georgia"/>
          <w:i/>
          <w:iCs/>
          <w:color w:val="555555"/>
          <w:sz w:val="22"/>
          <w:szCs w:val="22"/>
        </w:rPr>
        <w:t xml:space="preserve">Audience: ML engineers, technical PMs, and technically-minded AI enthusiasts</w:t>
      </w:r>
    </w:p>
    <w:p>
      <w:pPr>
        <w:pBdr>
          <w:bottom w:val="single" w:color="76B900" w:sz="4" w:space="1"/>
        </w:pBdr>
        <w:spacing w:after="100" w:before="0"/>
      </w:pPr>
      <w:r>
        <w:t xml:space="preserve"/>
      </w:r>
    </w:p>
    <w:p>
      <w:pPr>
        <w:spacing w:after="0" w:before="16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Nemotron 3 Super represents one of the most significant architectural leaps in open-weight large language models for agentic and long-context workloads. Released by NVIDIA in March 2026, this 120B-total / 12B-active-parameter Mixture-of-Experts (MoE) model fuses three co-designed innovations — a hybrid Mamba-Transformer backbone, LatentMoE, and multi-token prediction (MTP) — to make 1M-token contexts not merely possible, but practical on real hardware.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result is a model that redraws the frontier for long-context agents, multi-turn research assistants, and RAG pipelines over entire codebases or books. This article unpacks why — starting with the fundamental physics that have constrained every major Transformer-based model before it.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Problem: KV Cache Explosion at Scale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Many strong open models — the Qwen series, Llama-4 derivatives, DeepSeek, and GPT-OSS equivalents — excel at short-to-medium contexts (4k–128k tokens) but degrade sharply, or become outright unusable, when pushed toward 256k+, 512k+, or 1M-token regimes. The reason is simple physics: KV cache explosion.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Standard Transformer KV Cache Formula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In a typical dense Transformer or MoE-Transformer with grouped-query attention (GQA), the KV cache grows linearly with sequence length at this rate:</w:t>
      </w:r>
    </w:p>
    <w:p>
      <w:pPr>
        <w:spacing w:after="40" w:before="120"/>
        <w:ind w:left="720"/>
      </w:pPr>
      <w:r>
        <w:rPr>
          <w:rFonts w:ascii="Courier New" w:cs="Courier New" w:eastAsia="Courier New" w:hAnsi="Courier New"/>
          <w:b/>
          <w:bCs/>
          <w:color w:val="2B2B2B"/>
          <w:sz w:val="19"/>
          <w:szCs w:val="19"/>
        </w:rPr>
        <w:t xml:space="preserve">Bytes per token (BF16)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num_attention_layers × 2 (K + V) × (num_KV_heads × head_dim) × 2 bytes</w:t>
      </w:r>
    </w:p>
    <w:p>
      <w:pPr>
        <w:spacing w:after="0" w:before="8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Applied to real-world models in BF16: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Model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Attn Layers / KV Heads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KV Cache (BF16)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At 1M Tokens</w:t>
            </w:r>
          </w:p>
        </w:tc>
      </w:tr>
      <w:tr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Qwen3.5-122B-A10B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~12–16 layers, 8 KV heads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~24,576 bytes/token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~24 GB</w:t>
            </w:r>
          </w:p>
        </w:tc>
      </w:tr>
      <w:tr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Llama-3 70B (typical)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30–40 layers, 8 KV heads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~32–40 KiB/token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~32–40 GB</w:t>
            </w:r>
          </w:p>
        </w:tc>
      </w:tr>
      <w:tr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Generic 100B+ dense/MoE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Varies, large GQA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20–30 KiB/token</w:t>
            </w:r>
          </w:p>
        </w:tc>
        <w:tc>
          <w:tcPr>
            <w:tcW w:type="dxa" w:w="234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20–30 GB</w:t>
            </w:r>
          </w:p>
        </w:tc>
      </w:tr>
      <w:tr>
        <w:tc>
          <w:tcPr>
            <w:tcW w:type="dxa" w:w="2340"/>
            <w:tcBorders>
              <w:top w:val="single" w:color="76B900" w:sz="3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✨ Nemotron 3 Super</w:t>
            </w:r>
          </w:p>
        </w:tc>
        <w:tc>
          <w:tcPr>
            <w:tcW w:type="dxa" w:w="2340"/>
            <w:tcBorders>
              <w:top w:val="single" w:color="76B900" w:sz="3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6 attention layers, 2 KV heads</w:t>
            </w:r>
          </w:p>
        </w:tc>
        <w:tc>
          <w:tcPr>
            <w:tcW w:type="dxa" w:w="2340"/>
            <w:tcBorders>
              <w:top w:val="single" w:color="76B900" w:sz="3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~6,144 bytes/token</w:t>
            </w:r>
          </w:p>
        </w:tc>
        <w:tc>
          <w:tcPr>
            <w:tcW w:type="dxa" w:w="2340"/>
            <w:tcBorders>
              <w:top w:val="single" w:color="76B900" w:sz="3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~6 GB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Even at 262k tokens — a realistic long-document or multi-turn agent session — a Qwen-class model already consumes ~6 GB of VRAM for the KV cache alone. At 1M tokens, that balloons to ~24 GB: most of an H100/B200's VRAM budget before accounting for weights and activations. Inference latency also balloons, as generation is memory-bandwidth bound: the system spends most of its time reading and writing enormous KV tensors, not computing.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How Nemotron 3 Super Flips the Equation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Nemotron 3 Super’s key insight is architectural restraint: use attention sparingly, and handle the vast majority of sequence processing with Mamba-2 state-space layers, which maintain a constant-size recurrent state regardless of context length. The result is a fundamentally different memory profile.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Hybrid Architecture: 52 Layers, Three Layer Types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full model comprises 52 layers organized into three distinct types: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Layer Type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Count (of 52)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Role</w:t>
            </w:r>
          </w:p>
        </w:tc>
      </w:tr>
      <w:tr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Mamba-2 (SSM)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23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Linear-time sequence processing; constant-state memory</w:t>
            </w:r>
          </w:p>
        </w:tc>
      </w:tr>
      <w:tr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LatentMoE (FFN)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23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128 routed experts; top-6 + 2 shared activated per token</w:t>
            </w:r>
          </w:p>
        </w:tc>
      </w:tr>
      <w:tr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1C1C1C"/>
                <w:sz w:val="19"/>
                <w:szCs w:val="19"/>
              </w:rPr>
              <w:t xml:space="preserve">GQA Attention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6</w:t>
            </w:r>
          </w:p>
        </w:tc>
        <w:tc>
          <w:tcPr>
            <w:tcW w:type="dxa" w:w="312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E8F5E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Global long-range retrieval; 32Q / 2KV heads / dim 128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design philosophy is clear: attention layers serve as sparse “global anchors” for precise long-range retrieval — the associative recall that pure state-space models struggle with — while Mamba-2 layers handle the heavy lifting of sequence processing without any growing KV state at all. The MoE feed-forward layers amplify effective capacity (128 routed experts per layer) at modest compute cost, since only 8 experts are activated per token (top-6 routed + 2 shared).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The Corrected KV Cache Math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With only 6 attention layers (32 query heads, 2 KV heads, head dimension 128), the KV cache formula becomes:</w:t>
      </w:r>
    </w:p>
    <w:p>
      <w:pPr>
        <w:spacing w:after="40" w:before="120"/>
        <w:ind w:left="720"/>
      </w:pPr>
      <w:r>
        <w:rPr>
          <w:rFonts w:ascii="Courier New" w:cs="Courier New" w:eastAsia="Courier New" w:hAnsi="Courier New"/>
          <w:b/>
          <w:bCs/>
          <w:color w:val="2B2B2B"/>
          <w:sz w:val="19"/>
          <w:szCs w:val="19"/>
        </w:rPr>
        <w:t xml:space="preserve">Bytes per token (BF16) =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6 layers × 2 (K + V) × (2 KV heads × 128 dim) × 2 bytes</w:t>
      </w:r>
    </w:p>
    <w:p>
      <w:pPr>
        <w:spacing w:after="60" w:before="60"/>
        <w:ind w:left="720"/>
      </w:pPr>
      <w:r>
        <w:rPr>
          <w:rFonts w:ascii="Courier New" w:cs="Courier New" w:eastAsia="Courier New" w:hAnsi="Courier New"/>
          <w:color w:val="2B2B2B"/>
          <w:sz w:val="18"/>
          <w:szCs w:val="18"/>
        </w:rPr>
        <w:t xml:space="preserve">  = 6 × 2 × 256 × 2 = 6,144 bytes/token (≈6 KiB/token)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76B900" w:sz="3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76B900" w:sz="3"/>
              <w:left w:val="none"/>
              <w:bottom w:val="none"/>
              <w:right w:val="none"/>
            </w:tcBorders>
            <w:shd w:fill="E8F5E2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20"/>
                <w:szCs w:val="20"/>
              </w:rPr>
              <w:t xml:space="preserve">KV Cache at Scale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At 262,144 tokens: ~1.5 GB KV cache (vs. ~6 GB for Qwen-class models)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At 1,000,000 tokens: ~6 GB KV cache (vs. ~24 GB for Qwen-class models)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~4× smaller KV footprint than leading MoE-Transformer alternatives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/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The Mamba-2 layers consume a constant, fixed-size recurrent state independent of sequence length — no KV cache contribution whatsoever.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That 4× KV reduction compounds dramatically at scale. At 1M tokens, Nemotron 3 Super saves roughly 18 GB of VRAM compared to a Qwen3.5-122B-class model. That’s enough headroom to: run larger batch sizes, stack longer reasoning chains in agentic loops, or operate multiple independent agents concurrently on a single H100.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Three Co-Designed Innovations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KV cache efficiency isn’t the whole story. Nemotron 3 Super combines three innovations that together produce a model that is simultaneously faster, more accurate, and cheaper to run than its size class would suggest.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1. LatentMoE: More Experts for Less Compute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Standard MoE layers route tokens to a subset of experts to reduce FLOPs. LatentMoE goes further by projecting token representations into a smaller latent space before routing, then expanding back. This allows the model to activate more experts (top-6 routed + 2 shared = 8 total) for roughly the cost of activating far fewer in a standard design. The practical result: richer feature mixing at a given compute budget, translating to better accuracy per FLOP.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2. Multi-Token Prediction (MTP): Faster Inference Natively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Rather than predicting one token at a time, MTP trains the model to predict multiple future tokens simultaneously. At inference time this enables speculative decoding — a technique where candidate token sequences are verified in parallel, yielding up to 3× faster generation without any approximation or quality loss. Unlike bolted-on speculative decoding implementations, MTP is native to Nemotron 3 Super’s training objective, making it reliable across diverse tasks and long reasoning chains.</w:t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3. NVFP4 Native Training: Precision Without the Post-Hoc Tax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Nemotron 3 Super is pretrained on 25 trillion tokens using NVIDIA’s NVFP4 4-bit floating-point format — from the very first gradient update, not as a quantization step after the fact. This is significant: post-hoc quantization of large models typically incurs accuracy degradation that requires careful calibration to recover. By contrast, NVFP4-native training lets the model’s weights adapt to reduced precision throughout training, resulting in a 4-bit model that performs like a full-precision one. On NVIDIA Blackwell GPUs this translates to 4× faster inference than 8-bit models running on Hopper — with no accuracy penalty.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Throughput: The Numbers in Context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NVIDIA’s benchmarks report the following throughput gains in high-volume settings: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Comparison</w:t>
            </w:r>
          </w:p>
        </w:tc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Throughput Gain</w:t>
            </w:r>
          </w:p>
        </w:tc>
      </w:tr>
      <w:tr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vs. GPT-OSS-120B (Transformer MoE)</w:t>
            </w:r>
          </w:p>
        </w:tc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2.2× higher throughput</w:t>
            </w:r>
          </w:p>
        </w:tc>
      </w:tr>
      <w:tr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vs. Qwen3.5-122B-A10B</w:t>
            </w:r>
          </w:p>
        </w:tc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7.5× higher throughput</w:t>
            </w:r>
          </w:p>
        </w:tc>
      </w:tr>
      <w:tr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vs. 8-bit models on Hopper (on Blackwell)</w:t>
            </w:r>
          </w:p>
        </w:tc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2F4F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4× faster inference</w:t>
            </w:r>
          </w:p>
        </w:tc>
      </w:tr>
      <w:tr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1C1C1C"/>
                <w:sz w:val="19"/>
                <w:szCs w:val="19"/>
              </w:rPr>
              <w:t xml:space="preserve">vs. previous Nemotron Super model</w:t>
            </w:r>
          </w:p>
        </w:tc>
        <w:tc>
          <w:tcPr>
            <w:tcW w:type="dxa" w:w="4680"/>
            <w:tcBorders>
              <w:top w:val="single" w:color="C8D0D8" w:sz="1"/>
              <w:left w:val="single" w:color="C8D0D8" w:sz="1"/>
              <w:bottom w:val="single" w:color="C8D0D8" w:sz="1"/>
              <w:right w:val="single" w:color="C8D0D8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D6A00"/>
                <w:sz w:val="19"/>
                <w:szCs w:val="19"/>
              </w:rPr>
              <w:t xml:space="preserve">Up to 5× higher throughput, 2× higher accuracy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7.5× gain over Qwen3.5-122B is particularly striking because both models share a broadly similar active parameter count (~10–12B active). The difference is almost entirely architectural: Qwen’s Transformer-based attention must read and write a massive KV cache on every decoding step; Nemotron 3 Super’s Mamba-2 layers recur over a fixed-size state, and its six attention layers touch a ~4× smaller cache.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model currently holds the № 1 position on the DeepResearch Bench, confirming that throughput gains come without a meaningful accuracy tradeoff.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Why This Matters for Real Agentic Workloads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Most production agent systems today are constrained to the 8k–128k token range. Beyond that, three forces conspire against them: VRAM exhaustion prevents loading the full context; latency explodes as agents spend more time managing memory than reasoning; and cost compounds because longer contexts require either more GPUs or expensive cloud inference time.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Nemotron 3 Super changes each of these constraints simultaneously. Native 1M-token context becomes practical rather than theoretical. Multi-agent collaboration — a code review agent, a testing agent, and a documentation agent sharing a common context window — fits comfortably in the 200–500k range on a single GPU without CPU offloading or multi-node sharding. And the MTP-accelerated throughput means that even during long chain-of-thought reasoning traces, the model feels interactive rather than glacial.</w:t>
      </w:r>
    </w:p>
    <w:tbl>
      <w:tblPr>
        <w:tblW w:type="dxa" w:w="9360"/>
        <w:tblBorders>
          <w:top w:val="single" w:color="76B900" w:sz="3"/>
          <w:left w:val="none"/>
          <w:bottom w:val="none"/>
          <w:right w:val="none"/>
          <w:insideH w:val="none"/>
          <w:insideV w:val="none"/>
        </w:tblBorders>
      </w:tblPr>
      <w:tblGrid>
        <w:gridCol w:w="9360"/>
      </w:tblGrid>
      <w:tr>
        <w:tc>
          <w:tcPr>
            <w:tcW w:type="dxa" w:w="9360"/>
            <w:tcBorders>
              <w:top w:val="single" w:color="76B900" w:sz="3"/>
              <w:left w:val="none"/>
              <w:bottom w:val="none"/>
              <w:right w:val="none"/>
            </w:tcBorders>
            <w:shd w:fill="EBF0FA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spacing w:after="100" w:before="0"/>
            </w:pPr>
            <w:r>
              <w:rPr>
                <w:rFonts w:ascii="Arial" w:cs="Arial" w:eastAsia="Arial" w:hAnsi="Arial"/>
                <w:b/>
                <w:bCs/>
                <w:color w:val="1A3A6B"/>
                <w:sz w:val="20"/>
                <w:szCs w:val="20"/>
              </w:rPr>
              <w:t xml:space="preserve">What Opens Up at 1M Context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RAG over entire codebases or book-length documents without chunking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Multi-agent workflows sharing a full long-term memory window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Multi-turn research assistants with months of conversation history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Code generation with full repository context in a single pass</w:t>
            </w:r>
          </w:p>
          <w:p>
            <w:pPr>
              <w:spacing w:after="80" w:before="0"/>
            </w:pPr>
            <w:r>
              <w:rPr>
                <w:rFonts w:ascii="Georgia" w:cs="Georgia" w:eastAsia="Georgia" w:hAnsi="Georgia"/>
                <w:color w:val="1C1C1C"/>
                <w:sz w:val="20"/>
                <w:szCs w:val="20"/>
              </w:rPr>
              <w:t xml:space="preserve">•  Legal/compliance review of entire contract portfolios at once</w:t>
            </w:r>
          </w:p>
        </w:tc>
      </w:tr>
    </w:tbl>
    <w:p>
      <w:pPr>
        <w:spacing w:after="0" w:before="160"/>
      </w:pPr>
      <w:r>
        <w:t xml:space="preserve"/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25 trillion token pretraining corpus and three-phase training pipeline (pretraining for world knowledge, supervised fine-tuning for task behaviour, reinforcement learning over agentic environments) also mean the model has been explicitly optimized for agentic decision-making — not just long-context retrieval.</w:t>
      </w:r>
    </w:p>
    <w:p>
      <w:pPr>
        <w:spacing w:after="0" w:before="8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The Bigger Architectural Signal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Nemotron 3 Super is not simply a larger or better-trained Transformer. It represents a deliberate architectural thesis: that attention-everywhere is the wrong default for long-context reasoning. Transformers default to attending over every token at every layer, which is powerful but expensive. The hybrid Mamba-Transformer approach inverts this assumption: Mamba handles the default case (sequence processing with linear complexity), and attention is reserved for the cases where it uniquely excels (precise token retrieval, long-range associative recall).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The result is a model that degrades gracefully at scale rather than catastrophically. Where Transformer-based models hit a memory wall at 256k tokens, Nemotron 3 Super’s memory footprint grows slowly and predictably — exactly what long-running agents need.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With open weights, full training recipes, and open datasets under the NVIDIA Open Model License, the community can now extend this hybrid paradigm: fine-tune for domain-specific agent tasks, distill into smaller variants, or push the architecture further. Nemotron 3 Ultra, arriving later in 2026, will extend the same innovations at larger scale.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For anyone building autonomous agents, long-document RAG pipelines, or multi-turn research assistants: this architecture is not incremental progress. It is a new baseline.</w:t>
      </w:r>
    </w:p>
    <w:p>
      <w:pPr>
        <w:spacing w:after="0" w:before="160"/>
      </w:pPr>
      <w:r>
        <w:t xml:space="preserve"/>
      </w:r>
    </w:p>
    <w:p>
      <w:pPr>
        <w:pBdr>
          <w:bottom w:val="single" w:color="C8D0D8" w:sz="4" w:space="1"/>
        </w:pBdr>
        <w:spacing w:after="100" w:before="0"/>
      </w:pPr>
      <w:r>
        <w:t xml:space="preserve"/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Availability</w:t>
      </w:r>
    </w:p>
    <w:p>
      <w:pPr>
        <w:spacing w:after="180" w:before="0"/>
        <w:jc w:val="both"/>
      </w:pPr>
      <w:r>
        <w:rPr>
          <w:rFonts w:ascii="Georgia" w:cs="Georgia" w:eastAsia="Georgia" w:hAnsi="Georgia"/>
          <w:color w:val="1C1C1C"/>
          <w:sz w:val="22"/>
          <w:szCs w:val="22"/>
        </w:rPr>
        <w:t xml:space="preserve">Nemotron 3 Super is available at build.nvidia.com, Perplexity, OpenRouter, and Hugging Face. Open weights, datasets, and training recipes are released under the NVIDIA Open Model License.</w:t>
      </w:r>
    </w:p>
    <w:p>
      <w:pPr>
        <w:spacing w:after="0" w:before="80"/>
      </w:pPr>
      <w:r>
        <w:t xml:space="preserve"/>
      </w:r>
    </w:p>
    <w:p>
      <w:pPr>
        <w:pStyle w:val="Heading3"/>
      </w:pPr>
      <w:r>
        <w:rPr>
          <w:rFonts w:ascii="Arial" w:cs="Arial" w:eastAsia="Arial" w:hAnsi="Arial"/>
          <w:b/>
          <w:bCs/>
          <w:color w:val="444444"/>
          <w:sz w:val="22"/>
          <w:szCs w:val="22"/>
        </w:rPr>
        <w:t xml:space="preserve">Sources</w:t>
      </w:r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1. </w:t>
      </w:r>
      <w:hyperlink w:history="1" r:id="rId0tcu2pbul5rifuj4_vbit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NVIDIA Technical Blog: Introducing Nemotron 3 Super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2. </w:t>
      </w:r>
      <w:hyperlink w:history="1" r:id="rId64es8scc4v5bq7ncflnc9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NVIDIA Blog: New NVIDIA Nemotron 3 Super Delivers 5x Higher Throughput for Agentic AI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3. </w:t>
      </w:r>
      <w:hyperlink w:history="1" r:id="rIdu-xtwcqfptxwnws3caymn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NVIDIA Newsroom: NVIDIA Debuts Nemotron 3 Family of Open Models</w:t>
        </w:r>
      </w:hyperlink>
    </w:p>
    <w:p>
      <w:pPr>
        <w:pStyle w:val="ListParagraph"/>
        <w:numPr>
          <w:ilvl w:val="0"/>
          <w:numId w:val="2"/>
        </w:numPr>
        <w:spacing w:after="60" w:before="0"/>
      </w:pPr>
      <w:r>
        <w:rPr>
          <w:rFonts w:ascii="Arial" w:cs="Arial" w:eastAsia="Arial" w:hAnsi="Arial"/>
          <w:b/>
          <w:bCs/>
          <w:sz w:val="19"/>
          <w:szCs w:val="19"/>
        </w:rPr>
        <w:t xml:space="preserve">4. </w:t>
      </w:r>
      <w:hyperlink w:history="1" r:id="rIdml4eb6wsfoblrx8cu29ik">
        <w:r>
          <w:rPr>
            <w:rStyle w:val="Hyperlink"/>
            <w:rFonts w:ascii="Arial" w:cs="Arial" w:eastAsia="Arial" w:hAnsi="Arial"/>
            <w:sz w:val="19"/>
            <w:szCs w:val="19"/>
          </w:rPr>
          <w:t xml:space="preserve">NVIDIA Research: Nemotron 3 Super Technical Report (PDF)</w:t>
        </w:r>
      </w:hyperlink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D0D8" w:sz="4" w:space="1"/>
      </w:pBdr>
      <w:jc w:val="right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of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D0D8" w:sz="4" w:space="1"/>
      </w:pBdr>
      <w:tabs>
        <w:tab w:val="right" w:pos="9360"/>
      </w:tabs>
    </w:pPr>
    <w:r>
      <w:rPr>
        <w:rFonts w:ascii="Arial" w:cs="Arial" w:eastAsia="Arial" w:hAnsi="Arial"/>
        <w:color w:val="555555"/>
        <w:sz w:val="18"/>
        <w:szCs w:val="18"/>
      </w:rPr>
      <w:t xml:space="preserve">NVIDIA Nemotron 3 Super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color w:val="555555"/>
        <w:sz w:val="18"/>
        <w:szCs w:val="18"/>
      </w:rPr>
      <w:t xml:space="preserve">Technical Analysis · March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C1C1C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60"/>
      <w:outlineLvl w:val="1"/>
    </w:pPr>
    <w:rPr>
      <w:rFonts w:ascii="Arial" w:cs="Arial" w:eastAsia="Arial" w:hAnsi="Arial"/>
      <w:b/>
      <w:bCs/>
      <w:color w:val="2E4057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0tcu2pbul5rifuj4_vbit" Type="http://schemas.openxmlformats.org/officeDocument/2006/relationships/hyperlink" Target="https://developer.nvidia.com/blog/introducing-nemotron-3-super-an-open-hybrid-mamba-transformer-moe-for-agentic-reasoning/" TargetMode="External"/><Relationship Id="rId64es8scc4v5bq7ncflnc9" Type="http://schemas.openxmlformats.org/officeDocument/2006/relationships/hyperlink" Target="https://blogs.nvidia.com/blog/nemotron-3-super-agentic-ai/" TargetMode="External"/><Relationship Id="rIdu-xtwcqfptxwnws3caymn" Type="http://schemas.openxmlformats.org/officeDocument/2006/relationships/hyperlink" Target="https://nvidianews.nvidia.com/news/nvidia-debuts-nemotron-3-family-of-open-models" TargetMode="External"/><Relationship Id="rIdml4eb6wsfoblrx8cu29ik" Type="http://schemas.openxmlformats.org/officeDocument/2006/relationships/hyperlink" Target="https://research.nvidia.com/labs/nemotron/files/NVIDIA-Nemotron-3-Super-Technical-Report.pdf" TargetMode="Externa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2026-03-12T15:20:11.789Z</dcterms:created>
  <dcterms:modified xsi:type="dcterms:W3CDTF">2026-03-12T15:20:11.789Z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