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Jenkins Configuration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Download Jenkins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url: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https://jenkins.io/download/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click on “windows” under  “weekly support”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Extract the zip file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Run Jenkins installer file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Copy and paste admin pwd from the specified location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3600" cy="243616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Click on “Next”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Click on “Install suggested plugins”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3038475" cy="27146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943600" cy="306710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Enter user name and pwd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886450" cy="3314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Click on “Save and continue”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Jenkins url: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Username: Rajesh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Pwd: Mercury9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4248150" cy="38004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Enter login credentials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Madhukar &amp; LiveTech123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3600" cy="29850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Click on “New item” to add new project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Enter project name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Click on “freestyle”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4448175" cy="1952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Click on “OK”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Select “Build Trigger”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3600" cy="86880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Select “Build periodically”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2762250" cy="1847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Enter time when it has to execute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Ex: for  every 3 min</w:t>
      </w:r>
    </w:p>
    <w:p w:rsidR="00000000" w:rsidDel="00000000" w:rsidP="00000000" w:rsidRDefault="00000000" w:rsidRPr="00000000" w14:paraId="00000024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H/3 * * * *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Click on “Apply”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Build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Add Build setup</w:t>
      </w:r>
    </w:p>
    <w:p w:rsidR="00000000" w:rsidDel="00000000" w:rsidP="00000000" w:rsidRDefault="00000000" w:rsidRPr="00000000" w14:paraId="00000029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ab/>
        <w:tab/>
        <w:t xml:space="preserve">Execute window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Path of batch file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Specify the settings like mail to report after execution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save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80/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jenkins.io/download/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